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technological suitability across farms, while low perceived returns to schooling drive students to drop out. We develop a theoretical model of why school-based agricultural extension (SBAE) is suited to address this dual problem. Our model builds on the target-input framework, in which farmers learn about a technology’s suitability only from its use in production, on their own farms or their neighbors’. We add two signals of technological suitability, from a school demonstration plot and a home project, both increasing in precision with the time the student devotes to school. Schooling and adoption become complements, in both directions. First, schooling carries an option value on the farm: by raising the probability of future adoption, it makes attendance worthwhile even where labor-market returns are low. Second, SBAE decouples learning about a technology’s suitability from its use in production: households acquire information through their children’s schooling, and the returns to schooling pay for part of the cost of learning. We provide experimental evidence from Liberia that SBAE cost-effectively raises both agricultural technology adoption and school attendance, and use extensions of the model to study how SBAE’s design can be strengthened, including (i) how effectively agriculture and science education are integrated through inquiry-based learning,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distortions with information-acquisition anomalies. Two principles follow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