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29A0AB1" w14:textId="77777777" w:rsidR="00FA6E2B" w:rsidRDefault="00000000">
      <w:pPr>
        <w:keepNext/>
        <w:pBdr>
          <w:bottom w:val="single" w:sz="6" w:space="2" w:color="000000"/>
        </w:pBdr>
        <w:spacing w:before="140" w:after="100"/>
      </w:pPr>
      <w:r>
        <w:rPr>
          <w:b/>
          <w:bCs/>
          <w:spacing w:val="20"/>
        </w:rPr>
        <w:t>OTHER EMPLOYMENT</w:t>
      </w:r>
    </w:p>
    <w:p w14:paraId="6A98E00C" w14:textId="77777777" w:rsidR="00FA6E2B" w:rsidRDefault="00000000">
      <w:pPr>
        <w:tabs>
          <w:tab w:val="right" w:pos="9360"/>
        </w:tabs>
        <w:spacing w:after="20"/>
      </w:pPr>
      <w:r>
        <w:rPr>
          <w:b/>
          <w:bCs/>
        </w:rPr>
        <w:t>AI Trainer – Economics Expert (Flex time)</w:t>
      </w:r>
      <w:r>
        <w:t>, SpaceXAI</w:t>
        <w:tab/>
        <w:t>Apr 2026 – Present</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 and Scaling</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 with applications in program evaluation, agriculture, and education</w:t>
      </w:r>
    </w:p>
    <w:p w14:paraId="0F525259" w14:textId="77777777" w:rsidR="00FA6E2B" w:rsidRDefault="00000000">
      <w:pPr>
        <w:spacing w:after="60"/>
        <w:ind w:left="360"/>
      </w:pPr>
      <w:r>
        <w:rPr>
          <w:i/>
          <w:iCs/>
        </w:rPr>
        <w:t>Focus—Modeling Curiosity Through Contextual Shifts in Mindsets: Endogenous Model Uncertainty and Information Acquisition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Extension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Schools in developing countries often have weak ties with parents. This paper studies the extent to which development program success hinges on strengthening these ties. In a three-year Liberian experiment across 197 schools, I evaluate school-based agricultural extension (SBAE) against control, cross-randomizing whether to inform parents about SBAE’s distinctive, inquiry-based learning features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more cost-effective than most extension programs in Africa and over twice as cost-effective as conditional cash transfers in raising attendance. SBAE has strong positive training effects on students that are unaltered by parental engagement. However, without parental engagement, SBAE’s diffusion mechanisms via school demonstration farms, home projects, and intra-household communication stay muted—technology adoption effects vanish, absenteeism rises 31%, studying hours fall 20%, and parents disconnect—reducing school farm visits 12% and parent–teacher meetings 39%. Parents’ persistent avoidance of information about a new program, plus sharply reversed responses to SBAE under engagement, pose a puzzle. I discuss how standard Bayesian updating under a fixed prior, selective attention, and associative memory each fall short as standalone explanations. I propose an integrative explanation: parental engagement shifts parents’ categorization of SBAE away from schemas such as “school gardens as drudgery.”</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Diffusion and Schooling as Complements: The Promise of School-Based Agricultural Extension in Africa”</w:t>
      </w:r>
      <w:r>
        <w:t xml:space="preserve"> (joint with Chris Udry)</w:t>
      </w:r>
    </w:p>
    <w:p w14:paraId="00000000" w14:textId="77777777" w:rsidR="00FA6E2B" w:rsidRDefault="00000000">
      <w:pPr>
        <w:spacing w:after="80" w:line="216" w:lineRule="auto"/>
        <w:ind w:left="720" w:right="360"/>
        <w:jc w:val="both"/>
      </w:pPr>
      <w:r>
        <w:rPr>
          <w:sz w:val="20"/>
          <w:szCs w:val="20"/>
        </w:rPr>
        <w:t xml:space="preserve">Efforts to raise agricultural productivity in sub-Saharan Africa are limited by substantial heterogeneity in which technologies are suitable across farms, while low perceived returns to schooling drive students to drop out. We develop a theoretical model of why school-based agricultural extension (SBAE) is suited to address this dual problem. The model extends the target-input framework with two signals of technological suitability, from a school demonstration plot and a home project, both increasing in precision with the student’s study effort. Three results follow. First, schooling and adoption become complements: the same information raises both the value of the new technology and the value of attendance. Second, schooling acquires an option value on the farm: by raising the probability of future adoption, it makes attendance optimal even where the labor-market returns to schooling are low. Third, SBAE addresses suboptimal experimentation by decoupling learning about a technology’s suitability from its use in production: because information is acquired through study effort, the returns to schooling pay part of the cost of learning. We provide experimental evidence from Liberia that SBAE cost-effectively raises both agricultural technology adoption and school attendance, and use extensions of the model to study how SBAE’s design can be strengthened—including (i) how effectively agriculture and science education are integrated through inquiry-based learning,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People actively assign meaning to what they see and predict from it, and whether they look for more information depends on the mental model they use. I model contextual shifts in “mindsets” as a choice of how much model uncertainty to entertain: from a default mental model and a menu of latent, imprecise, and potentially more promising alternatives, an agent chooses how much attention to pay to each and how much information to acquire. This choice is disciplined by a microfounded evidence constraint that bounds motivated beliefs: the weight assigned to an alternative is capped by its likelihood relative to the default and to the other alternatives. Curiosity then arises endogenously as a drive to resolve the model uncertainty that evidence for a more promising alternative creates. The model reproduces regularities of neural remapping and unifies classic belief-updating anomalies with the information-acquisition behavior they usually sit apart from, with two principles for how curiosity can be stimulated. First, contrast matters because an alternative is activated only when the evidence makes the default indefensible against it, and thresholds govern how attention shifts: gradually, abruptly, or not at all. Second, concentration of evidence matters because several alternatives may each beat the default and yet none be activated, however strong the evidence. I apply the framework to the design of information interventions for a school-based agricultural extension program in Liberia, and to pedagogy and learning among teachers, students, and farmers.</w:t>
      </w:r>
    </w:p>
    <w:p w14:paraId="00000000" w14:textId="77777777" w:rsidR="00FA6E2B" w:rsidRDefault="00000000">
      <w:pPr>
        <w:pStyle w:val="ListParagraph"/>
        <w:numPr>
          <w:ilvl w:val="0"/>
          <w:numId w:val="2"/>
        </w:numPr>
        <w:spacing w:after="60"/>
      </w:pPr>
      <w:r>
        <w:rPr>
          <w:b/>
          <w:bCs/>
        </w:rPr>
        <w:t xml:space="preserve">“Communicating Parents’ Beliefs to Students as a Pivotal Component of Parental Engagement: Evidence from School-Based Agricultural Extension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extension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is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Extension: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(5.4/6), Introduction to Macroeconomics (5.4/6), Intermediate Microeconomics (5.4/6), Intermediate Macroeconomics (5.7/6), International Trade (5.6/6), Economics of Nonprofit Organizations (5.8/6)</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