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Aug 2026</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60"/>
        <w:ind w:left="360"/>
      </w:pPr>
      <w:r>
        <w:rPr>
          <w:i/>
          <w:iCs/>
        </w:rPr>
        <w:t>Focus—The Economics of Curiosity: Endogenous Model Uncertainty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Many developing countries have under-staffed agricultural extension systems, while rural households face tradeoffs between children’s schooling and farm labor. This paper provides a proof of concept that schools can become cost-effective hubs for these dual challenges, but only if parent-school linkages are strengthened. In a three-year Liberian experiment across 197 schools, I evaluate school-based agricultural education (SBAE)—a holistic model that trains science teachers to integrate inquiry-based learning with school demonstration farms and student home farming projects—estimating intent-to-treat effects on voluntary participants. I cross-randomize whether to inform parents about this integrated model via promotional videos and field days. SBAE improves targeted outcomes when paired with parental engagement: students’ households adopt 26–53% more agricultural techniques, dropouts fall 4–5 percentage points per year, absenteeism falls 28%, and studying hours rise 22%. It is among the most cost-effective in agricultural extension trials, and over twice as cost-effective for school attendance as a conditional cash transfer benchmark (Baird et al. 2011). SBAE’s positive training effects on teachers and students are unaltered by parental engagement. However, without parental engagement, SBAE’s diffusion mechanisms—school demonstration farms, home projects, intra-household communication—stay muted. Technology adoption effects vanish, absenteeism rises 31%, studying hours fall 20%, and parents disconnect—reducing school farm visits 12% and parent–teacher meetings 39%. Parents’ persistent avoidance of information, plus sharply reversed responses under engagement, pose a puzzle. Bayesian updating, selective attention, and associative memory each fall short alone.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model in which trained science teachers integrate inquiry-based learning with school demonstration farms and student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Neuroscience suggests that people automatically classify a situation before choosing how to act. Association with experience supplies a familiar interpretation, but when it explains the evidence poorly, people begin to entertain less familiar alternatives. Model-switching theories capture this shift partially: they allow one model at a time and abstract from information acquisition. This paper treats contextual shifts in “mindsets” as a choice of how much model uncertainty to entertain. Each mental model pairs a prior with a view of which features reveal the state, so weighting models means choosing what to attend to. After an initial signal, an agent with a costless default and latent, less precise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The model isolates new mechanisms for two effects central to behavioral models of associative memory. First, context effects: payoff-irrelevant context has limited effects, because it sways decisions only when another model makes it relevant, and the search this triggers reverses the shift if that model proves wrong. Second, interference effects: rather than changing which model comes to mind, rival explanations dilute one another’s support, leaving none activated and search dormant. I illustrate design principles where stimulating continuous model exploration is crucial: drawing parents’ attention to school-based agricultural education and promoting new teaching, learning, and farming approaches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