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agriculture into formal education: the more SBAE’s hands-on activities contribute to meaningful learning,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