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unusually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alternatives chooses model weights and how much information to acquire. The key discipline is a neurally grounded evidence constraint that bounds motivated beliefs: an alternative’s weight is capped by its Bayesian posterior. Curiosity then arises endogenously as a drive to resolve the resulting model uncertainty, which imposes hedging costs. By letting agents seek information and move beyond the familiar interpretation that associative memory supplies, the model revises two hallmark effects of memory-based models. First, context effects: contextual cues that are payoff-irrelevant under the default sway decisions only when they activate an alternative under which they matter, and the curiosity this creates drives self-correction. Persistent context effects thus reflect the information environment. Second, interference effects: cues consistent with several alternatives divide the evidence among them, so none may be activated and the agent stays incurious. Development examples illustrate principles for stimulating curiosity about innovative programs, pedagogies, and farming techniques.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