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can self-correct, but this can be hindered when the space of model exploration strains cognitive limits. Model-switching and associative-memory models of categorization capture this partially: they allow one model at a time and abstract from information acquisition. I model contextual shifts in “mindsets” as a choice of how much model uncertainty to entertain: after an initial signal, a decision maker with a default mental model and latent, less precise alternatives jointly chooses how much attention to give each and how much information to acquire. The key discipline is a microfounded evidence constraint that bounds motivated beliefs: an alternative’s weight is capped by its Bayesian posterior. Curiosity then arises endogenously as a drive to resolve model uncertainty created by evidence for an alternative. The model unifies classic belief-updating distortions with information-acquisition anomalies. It isolates new mechanisms for two effects central to memory models. First, context effects: payoff-irrelevant context has limited effects, because it sways decisions only when another model makes it relevant, and the search this triggers reverses the shift if that model proves wrong. Second, interference effects: rather than changing which representation comes to mind, rival explanations can dilute one another’s support, leaving none activated and search dormant. I illustrate design principles where stimulating continuous model exploration is crucial: drawing parents’ attention to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