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Aug 2026</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60"/>
        <w:ind w:left="360"/>
      </w:pPr>
      <w:r>
        <w:rPr>
          <w:i/>
          <w:iCs/>
        </w:rPr>
        <w:t>Focus—The Economics of Curiosity: Endogenous Model Uncertainty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Many developing countries have under-staffed agricultural extension systems, while rural households face tradeoffs between children’s schooling and farm labor. This paper provides a proof of concept that schools can become cost-effective hubs for these dual challenges, but only if parent-school linkages are strengthened. In a three-year Liberian experiment across 197 schools, I evaluate school-based agricultural education (SBAE)—a holistic model that trains science teachers to integrate inquiry-based learning with school demonstration farms and student home farming projects—estimating intent-to-treat effects on voluntary participants. I cross-randomize whether to inform parents about this integrated model via promotional videos and field days. SBAE improves targeted outcomes when paired with parental engagement: students’ households adopt 26–53% more agricultural techniques, dropouts fall 4–5 percentage points per year, absenteeism falls 28%, and studying hours rise 22%. It is among the most cost-effective in agricultural extension trials, and over twice as cost-effective for school attendance as a conditional cash transfer benchmark (Baird et al. 2011). SBAE’s positive training effects on teachers and students are unaltered by parental engagement. However, without parental engagement, SBAE’s diffusion mechanisms—school demonstration farms, home projects, intra-household communication—stay muted. Technology adoption effects vanish, absenteeism rises 31%, studying hours fall 20%, and parents disconnect—reducing school farm visits 12% and parent–teacher meetings 39%. Parents’ persistent avoidance of information, plus sharply reversed responses under engagement, pose a puzzle. Bayesian updating, selective attention, and associative memory each fall short alone.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school demonstration farms and student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Neuroscience suggests that people automatically classify a situation before choosing how to act. Association with experience supplies a familiar interpretation, but when it explains the evidence poorly, people begin to entertain less familiar alternatives. Model-switching theories capture this shift partially: they allow one model at a time and abstract from information acquisition. This paper treats contextual shifts in “mindsets” as a choice of how much model uncertainty to entertain. Each mental model pairs a prior with a view of which features reveal the state, so weighting models means choosing what to attend to. After an initial signal, an agent with a costless default and latent, less precise alternatives chooses these weights and how much information to acquire. The key discipline is a neurally grounded evidence constraint that bounds motivated beliefs: an alternative’s weight is capped by its Bayesian posterior. Curiosity arises endogenously as a drive to resolve the resulting model uncertainty. The model isolates new mechanisms for two effects central to behavioral models of associative memory. First, context effects: payoff-irrelevant context sways decisions only when another model makes it relevant, and the curiosity this creates drives self-correction. Persistent context effects thus reflect the information environment. Second, interference effects: rather than changing which model comes to mind, rival explanations dilute one another’s support, leaving none activated and search dormant. I illustrate design principles where stimulating continuous model exploration is crucial: drawing parents’ attention to school-based agricultural education and promoting new teaching, learning, and farming approaches among teachers, students, and farmers.</w:t>
      </w:r>
    </w:p>
    <w:p w14:paraId="00000000" w14:textId="77777777" w:rsidR="00FA6E2B" w:rsidRDefault="00000000">
      <w:pPr>
        <w:pStyle w:val="ListParagraph"/>
        <w:numPr>
          <w:ilvl w:val="0"/>
          <w:numId w:val="2"/>
        </w:numPr>
        <w:spacing w:after="6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