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examines the extent to which programs with innovative elements—which parents may misperceive—hinge on strengthening these ties to succeed.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extension programs in randomized trials in sub-Saharan Africa, and over twice as cost-effective as a widely cited cash-transfer benchmark for the region (Baird et al. 2011).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 or “parents are not involved.”</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extension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The models people entertain and the information they seek form a feedback loop that can complicate dynamics when the space of model exploration strains cognitive limits. Model-switching theories capture this partially: they allow one model at a time and abstract from information acquisition. I model shifts in “mindsets” as a choice of how much model uncertainty to entertain: given a default mental model and a menu of latent, higher-payoff alternatives, a decision maker jointly chooses how much attention to give each and how much information to acquire. A microfounded evidence constraint bounds motivated beliefs: the weight an alternative can carry is capped by its Bayesian posterior probability. Curiosity arises endogenously as a drive to resolve model uncertainty from evidence for a higher-payoff alternative. The model reproduces neural remapping regularities and unifies belief-updating distortions with information-acquisition anomalies. It offers new mechanisms for two effects central to associative memory. First, context effects: cues matter through the explanations they support, not just superficial similarity, so interventions can reframe interpretations rather than draw attention. Second, interference effects: alternatives block one another through fragmentation of evidence, not just memory retrieval, so interventions can distinguish explanations rather than strengthen target cues. I illustrate these principles where active information-seeking is crucial: engaging parents in Liberia’s school-based agricultural extension and promoting new teaching, study, and farming practices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