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the intertwined choices of (i) activating mental model(s) alternative to a default and (ii) information acquisition efforts about a new situation—under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Schools in developing countries often have weak ties with less-educated, poorly informed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parental engagement,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SBAE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When school programs require students to introduce improved techniques on household farms, is informing students and parents about the program sufficient, or is further signaling parents’ support to students needed? I study this question within a randomized evaluation of school-based agricultural extension (SBAE) in Liberia, where students take school farm training into a home farming project. After parents view a promotional video of the program and students are encouraged to diffuse techniques to their parents, I randomize a nudge revealing to students their parents’ optimism about their farm-management skills. Two years later, SBAE improves students’ livelihoods only with the nudge: income rises 63%, on-time school fee payment 43–47%, and cost-effectiveness for attendance doubles. Analysis of mechanisms highlights a management aspect of agricultural technology adoption that can be addressed with nudges: even where parents become attentive to SBAE and adopt promoted techniques, third-party mediation is pivotal in shifting students away from assisting in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Theory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“Catalyzing Technology Diffusion in Africa through School-Based Agricultural Extension”</w:t>
      </w:r>
      <w:r>
        <w:t xml:space="preserve"> (joint with Chris Udry)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“Default Mental Model, Alternative(s) Activation, and Information Acquisition under Neural Capacity Constraints: Theory and Belief Measurements”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“Directed Technical Change under Data-Driven Farming Advice: An Empirical Framework”</w:t>
      </w:r>
      <w:r>
        <w:t xml:space="preserve"> (grant from Weiss Fund; piloted survey method; planning RCT)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Ongoing Randomized Experiments</w:t>
      </w:r>
      <w:r>
        <w:t xml:space="preserve"> (scaling SBAE across Liberia, Côte d’Ivoire, and Kenya in 2026-35)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“Learning to Learn: Synergizing Inquiry-based Science and Agricultural Transformation”</w:t>
      </w:r>
      <w:r>
        <w:t xml:space="preserve"> (joint with Vesall Nourani, Harvard GSE; scheduled RCT within the scaling of SBAE in 2026-29)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in School-based Agricultural Extension: Testing Mechanisms at Scale”</w:t>
      </w:r>
      <w:r>
        <w:t xml:space="preserve"> (piloted interventions in 2025-26)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and the Use of Unconditional Cash Transfers”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11D3DC52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