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less precise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agent chooses to entertain. Because agents can seek information and reason beyond what associative memory supplies, exploration is both triggered and tested by evidence, which revises hallmark behavioral effects in memory-based models (e.g., Bordalo et al. 2023, 2026). Payoff-irrelevant contextual cues sway decisions only when they activate an alternative under which they matter, and the curiosity this stimulates tests that alternative, so the shift lasts only if evidence supports it. Yet cues consistent with several alternatives can stifle exploration of a promising one by dividing the evidence among them, even if the agent would never entertain the others. I illustrate how to stimulate curiosity about innovative development programs, pedagogies, and farming techniques, and outline how the framework can be extended with non-instrumental curiosity, creativity, and critical thinking.</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