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signal triggers. Because agents can seek information and reason beyond what associative memory supplies, exploration is both triggered and tested by evidence, which revises hallmark behavioral effects in memory-based models (e.g., Bordalo et al. 2023, 2026). Payoff-irrelevant contextual cues open a new perspective only when they activate an alternative under which they matter, and the curiosity this creates tests that perspective, so the shift lasts only if evidence supports it. Yet cues consistent with several alternatives can stifle exploration by dividing the evidence among them, even when each alternative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