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2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140" w:after="100"/>
      </w:pPr>
      <w:r>
        <w:rPr>
          <w:b/>
          <w:bCs/>
          <w:spacing w:val="20"/>
        </w:rPr>
        <w:t>ACADEMIC POSITIONS</w:t>
      </w:r>
    </w:p>
    <w:p w14:paraId="7F1BA8DD" w14:textId="77777777" w:rsidR="00FA6E2B" w:rsidRDefault="00000000">
      <w:pPr>
        <w:tabs>
          <w:tab w:val="right" w:pos="9360"/>
        </w:tabs>
      </w:pPr>
      <w:r>
        <w:rPr>
          <w:b/>
          <w:bCs/>
        </w:rPr>
        <w:t>Postdoctoral Fellow in Economics</w:t>
      </w:r>
      <w:r>
        <w:tab/>
        <w:t>Sept 2024 – Aug 2026</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20"/>
        <w:ind w:left="360"/>
      </w:pPr>
      <w:r>
        <w:t>Center for International Development, Harvard University</w:t>
      </w:r>
    </w:p>
    <w:p w14:paraId="05D80B99" w14:textId="77777777" w:rsidR="00FA6E2B" w:rsidRDefault="00000000">
      <w:pPr>
        <w:keepNext/>
        <w:pBdr>
          <w:bottom w:val="single" w:sz="6" w:space="2" w:color="000000"/>
        </w:pBdr>
        <w:spacing w:before="140" w:after="10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60"/>
        <w:ind w:left="360"/>
      </w:pPr>
      <w:r>
        <w:rPr>
          <w:i/>
          <w:iCs/>
        </w:rPr>
        <w:t>Focus—Synergies between Agriculture, Rural Education, and Digital Technologies</w:t>
      </w:r>
    </w:p>
    <w:p w14:paraId="64363DC3" w14:textId="77777777" w:rsidR="00FA6E2B" w:rsidRDefault="00000000">
      <w:r>
        <w:rPr>
          <w:b/>
          <w:bCs/>
        </w:rPr>
        <w:t>Family Economics, Organizational Economics</w:t>
      </w:r>
    </w:p>
    <w:p w14:paraId="0FEC5AA1" w14:textId="77777777" w:rsidR="00FA6E2B" w:rsidRDefault="00000000">
      <w:pPr>
        <w:spacing w:after="2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60"/>
        <w:ind w:left="360"/>
      </w:pPr>
      <w:r>
        <w:rPr>
          <w:i/>
          <w:iCs/>
        </w:rPr>
        <w:t>Focus—The Economics of Curiosity: Endogenous Model Uncertainty under Cognitive Limits</w:t>
      </w:r>
    </w:p>
    <w:p w14:paraId="795D7E78" w14:textId="77777777" w:rsidR="00FA6E2B" w:rsidRDefault="00000000">
      <w:pPr>
        <w:keepNext/>
        <w:pBdr>
          <w:bottom w:val="single" w:sz="6" w:space="2" w:color="000000"/>
        </w:pBdr>
        <w:spacing w:before="140" w:after="100"/>
      </w:pPr>
      <w:r>
        <w:rPr>
          <w:b/>
          <w:bCs/>
          <w:spacing w:val="20"/>
        </w:rPr>
        <w:t>EDUCATION</w:t>
      </w:r>
    </w:p>
    <w:p w14:paraId="12C9B357" w14:textId="77777777" w:rsidR="00FA6E2B" w:rsidRDefault="00000000">
      <w:pPr>
        <w:tabs>
          <w:tab w:val="right" w:pos="9360"/>
        </w:tabs>
        <w:spacing w:after="20"/>
      </w:pPr>
      <w:r>
        <w:rPr>
          <w:b/>
          <w:bCs/>
        </w:rPr>
        <w:t>Ph.D., Economics</w:t>
      </w:r>
      <w:r>
        <w:t>, Northwestern University</w:t>
        <w:tab/>
        <w:t>2024</w:t>
      </w:r>
    </w:p>
    <w:p w14:paraId="5EF1B9E4" w14:textId="77777777" w:rsidR="00FA6E2B" w:rsidRDefault="00000000">
      <w:pPr>
        <w:tabs>
          <w:tab w:val="right" w:pos="9360"/>
        </w:tabs>
        <w:spacing w:after="20"/>
      </w:pPr>
      <w:r>
        <w:rPr>
          <w:b/>
          <w:bCs/>
        </w:rPr>
        <w:t>M.Phil., Economics</w:t>
      </w:r>
      <w:r>
        <w:t>, The Chinese University of Hong Kong</w:t>
        <w:tab/>
        <w:t>2017</w:t>
      </w:r>
    </w:p>
    <w:p w14:paraId="7A753CE3" w14:textId="77777777" w:rsidR="00FA6E2B" w:rsidRDefault="00000000">
      <w:pPr>
        <w:tabs>
          <w:tab w:val="right" w:pos="9360"/>
        </w:tabs>
        <w:spacing w:after="20"/>
      </w:pPr>
      <w:r>
        <w:rPr>
          <w:b/>
          <w:bCs/>
        </w:rPr>
        <w:t>B.SSc., Economics</w:t>
      </w:r>
      <w:r>
        <w:t>, The Chinese University of Hong Kong</w:t>
        <w:tab/>
        <w:t>2015</w:t>
      </w:r>
    </w:p>
    <w:p w14:paraId="7EADC13A" w14:textId="77777777" w:rsidR="00FA6E2B" w:rsidRDefault="00000000">
      <w:pPr>
        <w:keepNext/>
        <w:pBdr>
          <w:bottom w:val="single" w:sz="6" w:space="2" w:color="000000"/>
        </w:pBdr>
        <w:spacing w:before="140" w:after="100"/>
      </w:pPr>
      <w:r>
        <w:rPr>
          <w:b/>
          <w:bCs/>
          <w:spacing w:val="20"/>
        </w:rPr>
        <w:t>JOB MARKET PAPER</w:t>
      </w:r>
    </w:p>
    <w:p w14:paraId="6ADADC82" w14:textId="77777777" w:rsidR="00FA6E2B" w:rsidRDefault="00000000">
      <w:pPr>
        <w:spacing w:after="2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38" w:lineRule="auto"/>
        <w:ind w:left="360" w:right="360"/>
      </w:pPr>
      <w:r>
        <w:rPr>
          <w:sz w:val="22"/>
          <w:szCs w:val="22"/>
        </w:rPr>
        <w:t xml:space="preserve">Many developing countries have vastly under-staffed agricultural extension systems, while rural households face stark tradeoffs between children’s schooling and farm labor. This paper provides a proof of concept that schools can be developed into cost-effective hubs that tackle these dual challenges, but only if parent-school linkages are strengthened. In a three-year Liberian experiment across 197 schools, I evaluate school-based agricultural education (SBAE)—a holistic model integrating inquiry-based learning with school demonstration farms and student home farming projects—estimating intent-to-treat effects on voluntary participants. I cross-randomize whether to inform parents about this integrated model via promotional videos and field days. SBAE improves targeted outcomes only when paired with parental engagement: students’ households adopt 26–53% more agricultural techniques, dropouts fall 4–5 percentage points per year, absenteeism falls 28%, and studying hours rise 22%. The program is among the most cost-effective in sub-Saharan African trials, and over twice as cost-effective as a widely cited cash-transfer benchmark (Baird et al. 2011). SBAE’s positive training effects on students are unaltered by parental engagement. However, without parental engagement, SBAE’s diffusion mechanisms—school demonstration farms, home projects, intra-household communication—stay muted—technology adoption effects vanish, absenteeism rises 31%, studying hours fall 20%, and parents disconnect—reducing school farm visits 12% and parent–teacher meetings 39%. Parents’ avoidance of information, plus sharply reversed responses under engagement, pose a puzzle. Bayesian updating, selective attention, and associative memory each fall short alone. I propose an integrative explanation: parental engagement shifts parents’ categorization of SBAE away from schemas that view agriculture and education as substitutes.</w:t>
      </w:r>
    </w:p>
    <w:p w14:paraId="7D95C4B3" w14:textId="77777777" w:rsidR="00FA6E2B" w:rsidRDefault="00000000">
      <w:pPr>
        <w:keepNext/>
        <w:pBdr>
          <w:bottom w:val="single" w:sz="6" w:space="2" w:color="000000"/>
        </w:pBdr>
        <w:spacing w:before="140" w:after="100"/>
      </w:pPr>
      <w:r>
        <w:rPr>
          <w:b/>
          <w:bCs/>
          <w:spacing w:val="20"/>
        </w:rPr>
        <w:t>WORKING PAPERS</w:t>
      </w:r>
    </w:p>
    <w:p w14:paraId="00000000" w14:textId="77777777" w:rsidR="00FA6E2B" w:rsidRDefault="00000000">
      <w:pPr>
        <w:pStyle w:val="ListParagraph"/>
        <w:numPr>
          <w:ilvl w:val="0"/>
          <w:numId w:val="2"/>
        </w:numPr>
        <w:spacing w:after="6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80" w:line="216"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which combines inquiry-based science learning, school demonstration plots, student home projects, and leadership training,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60"/>
      </w:pPr>
      <w:r>
        <w:rPr>
          <w:b/>
          <w:bCs/>
        </w:rPr>
        <w:t xml:space="preserve">“Endogenous Model Uncertainty and Curiosity under Cognitive Limits”</w:t>
      </w:r>
    </w:p>
    <w:p w14:paraId="00000000" w14:textId="77777777" w:rsidR="00FA6E2B" w:rsidRDefault="00000000">
      <w:pPr>
        <w:spacing w:after="80" w:line="216" w:lineRule="auto"/>
        <w:ind w:left="720" w:right="360"/>
        <w:jc w:val="both"/>
      </w:pPr>
      <w:r>
        <w:rPr>
          <w:sz w:val="20"/>
          <w:szCs w:val="20"/>
        </w:rPr>
        <w:t xml:space="preserve">Neuroscience suggests that people automatically classify a situation before choosing how to act. Association with experience supplies a familiar interpretation, but when it explains the evidence poorly, people begin to entertain less familiar alternatives. Model-switching theories capture this shift partially: they allow one model at a time and abstract from information acquisition. This paper treats contextual shifts in “mindsets” as a choice of how much model uncertainty to entertain. Each mental model pairs a prior with a view of which features reveal the state, so weighting models means choosing what to attend to. After an initial signal, an agent with a costless default and latent, less precise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The model isolates new mechanisms for two effects central to behavioral models of associative memory. First, context effects: payoff-irrelevant context has limited effects, because it sways decisions only when another model makes it relevant, and the search this triggers reverses the shift if that model proves wrong. Second, interference effects: rather than changing which model comes to mind, rival explanations dilute one another’s support, leaving none activated and search dormant. I illustrate design principles where stimulating continuous model exploration is crucial: drawing parents’ attention to school-based agricultural education and promoting new teaching, learning, and farming approaches among teachers, students, and farmers.</w:t>
      </w:r>
    </w:p>
    <w:p w14:paraId="00000000" w14:textId="77777777" w:rsidR="00FA6E2B" w:rsidRDefault="00000000">
      <w:pPr>
        <w:pStyle w:val="ListParagraph"/>
        <w:numPr>
          <w:ilvl w:val="0"/>
          <w:numId w:val="2"/>
        </w:numPr>
        <w:spacing w:after="6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80" w:line="216"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140" w:after="100"/>
      </w:pPr>
      <w:r>
        <w:rPr>
          <w:b/>
          <w:bCs/>
          <w:spacing w:val="20"/>
        </w:rPr>
        <w:t>WORK IN PROGRESS</w:t>
      </w:r>
    </w:p>
    <w:p w14:paraId="00000000" w14:textId="77777777" w:rsidR="00FA6E2B" w:rsidRDefault="00000000">
      <w:pPr>
        <w:spacing w:after="2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6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6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60"/>
      </w:pPr>
      <w:r>
        <w:rPr>
          <w:b/>
          <w:bCs/>
        </w:rPr>
        <w:t xml:space="preserve">“Parental Engagement and the Use of Unconditional Cash Transfers”</w:t>
      </w:r>
    </w:p>
    <w:p w14:paraId="00000000" w14:textId="77777777" w:rsidR="00FA6E2B" w:rsidRDefault="00000000">
      <w:pPr>
        <w:pStyle w:val="ListParagraph"/>
        <w:numPr>
          <w:ilvl w:val="0"/>
          <w:numId w:val="3"/>
        </w:numPr>
        <w:spacing w:after="6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140" w:after="10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20"/>
        <w:ind w:left="360"/>
      </w:pPr>
      <w:r>
        <w:t>AFD Fund for Innovation in Development ($1.2 mil; co-PI)</w:t>
        <w:tab/>
        <w:t>2025</w:t>
      </w:r>
    </w:p>
    <w:p w14:paraId="7C855BEC" w14:textId="77777777" w:rsidR="00FA6E2B" w:rsidRDefault="00000000">
      <w:pPr>
        <w:tabs>
          <w:tab w:val="right" w:pos="9360"/>
        </w:tabs>
        <w:spacing w:after="20"/>
        <w:ind w:left="360"/>
      </w:pPr>
      <w:r>
        <w:t>J-PAL Learning for All Initiative: Scaling Award ($222K; co-PI)</w:t>
        <w:tab/>
        <w:t>2024</w:t>
      </w:r>
    </w:p>
    <w:p w14:paraId="23245D21" w14:textId="77777777" w:rsidR="00FA6E2B" w:rsidRDefault="00000000">
      <w:pPr>
        <w:tabs>
          <w:tab w:val="right" w:pos="9360"/>
        </w:tabs>
        <w:spacing w:after="20"/>
        <w:ind w:left="360"/>
      </w:pPr>
      <w:r>
        <w:t>USAID Development Innovation Ventures ($395K; co-PI)</w:t>
        <w:tab/>
        <w:t>2022</w:t>
      </w:r>
    </w:p>
    <w:p w14:paraId="45158026" w14:textId="77777777" w:rsidR="00FA6E2B" w:rsidRDefault="00000000">
      <w:pPr>
        <w:tabs>
          <w:tab w:val="right" w:pos="9360"/>
        </w:tabs>
        <w:spacing w:after="20"/>
        <w:ind w:left="360"/>
      </w:pPr>
      <w:r>
        <w:t>Wellspring Foundation ($192K; co-PI)</w:t>
        <w:tab/>
        <w:t>2022</w:t>
      </w:r>
    </w:p>
    <w:p w14:paraId="64E1FE61" w14:textId="77777777" w:rsidR="00FA6E2B" w:rsidRDefault="00000000">
      <w:pPr>
        <w:tabs>
          <w:tab w:val="right" w:pos="9360"/>
        </w:tabs>
        <w:spacing w:after="20"/>
        <w:ind w:left="360"/>
      </w:pPr>
      <w:r>
        <w:t>AFD Fund for Innovation in Development ($1.2 mil; co-PI)</w:t>
        <w:tab/>
        <w:t>2021</w:t>
      </w:r>
    </w:p>
    <w:p w14:paraId="4CE8C181" w14:textId="77777777" w:rsidR="00FA6E2B" w:rsidRDefault="00000000">
      <w:pPr>
        <w:tabs>
          <w:tab w:val="right" w:pos="9360"/>
        </w:tabs>
        <w:spacing w:after="2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20"/>
        <w:ind w:left="360"/>
      </w:pPr>
      <w:r>
        <w:t>J-PAL Learning for All Initiative ($400K; co-PI)</w:t>
        <w:tab/>
        <w:t>2025</w:t>
      </w:r>
    </w:p>
    <w:p w14:paraId="197A4B18" w14:textId="77777777" w:rsidR="00FA6E2B" w:rsidRDefault="00000000">
      <w:pPr>
        <w:tabs>
          <w:tab w:val="right" w:pos="9360"/>
        </w:tabs>
        <w:spacing w:after="20"/>
        <w:ind w:left="360"/>
      </w:pPr>
      <w:r>
        <w:t>Weiss Fund ($5K; Lead PI)</w:t>
        <w:tab/>
        <w:t>2022</w:t>
      </w:r>
    </w:p>
    <w:p w14:paraId="039FA679" w14:textId="77777777" w:rsidR="00FA6E2B" w:rsidRDefault="00000000">
      <w:pPr>
        <w:tabs>
          <w:tab w:val="right" w:pos="9360"/>
        </w:tabs>
        <w:spacing w:after="20"/>
        <w:ind w:left="360"/>
      </w:pPr>
      <w:r>
        <w:t>National Science Foundation ($451K; co-PI)</w:t>
        <w:tab/>
        <w:t>2020</w:t>
      </w:r>
    </w:p>
    <w:p w14:paraId="1EC21FC3" w14:textId="77777777" w:rsidR="00FA6E2B" w:rsidRDefault="00000000">
      <w:pPr>
        <w:tabs>
          <w:tab w:val="right" w:pos="9360"/>
        </w:tabs>
        <w:spacing w:after="20"/>
        <w:ind w:left="360"/>
      </w:pPr>
      <w:r>
        <w:t>Weiss Fund ($29K; Lead PI)</w:t>
        <w:tab/>
        <w:t>2020</w:t>
      </w:r>
    </w:p>
    <w:p w14:paraId="18495156" w14:textId="77777777" w:rsidR="00FA6E2B" w:rsidRDefault="00000000">
      <w:pPr>
        <w:tabs>
          <w:tab w:val="right" w:pos="9360"/>
        </w:tabs>
        <w:spacing w:after="20"/>
        <w:ind w:left="360"/>
      </w:pPr>
      <w:r>
        <w:t>Global Poverty Research Lab ($19K; Lead PI)</w:t>
        <w:tab/>
        <w:t>2019</w:t>
      </w:r>
    </w:p>
    <w:p w14:paraId="4FC20D62" w14:textId="77777777" w:rsidR="00FA6E2B" w:rsidRDefault="00000000">
      <w:pPr>
        <w:tabs>
          <w:tab w:val="right" w:pos="9360"/>
        </w:tabs>
        <w:spacing w:after="20"/>
        <w:ind w:left="360"/>
      </w:pPr>
      <w:r>
        <w:t>Buffett Institute for Global Affairs ($5K; Lead PI)</w:t>
        <w:tab/>
        <w:t>2019</w:t>
      </w:r>
    </w:p>
    <w:p w14:paraId="11D3DC52" w14:textId="77777777" w:rsidR="00FA6E2B" w:rsidRDefault="00000000">
      <w:pPr>
        <w:keepNext/>
        <w:pBdr>
          <w:bottom w:val="single" w:sz="6" w:space="2" w:color="000000"/>
        </w:pBdr>
        <w:spacing w:before="140" w:after="100"/>
      </w:pPr>
      <w:r>
        <w:rPr>
          <w:b/>
          <w:bCs/>
          <w:spacing w:val="20"/>
        </w:rPr>
        <w:t>INVITED PRESENTATIONS</w:t>
      </w:r>
    </w:p>
    <w:p w14:paraId="07B7FBED" w14:textId="77777777" w:rsidR="00FA6E2B" w:rsidRDefault="00000000">
      <w:pPr>
        <w:spacing w:after="20"/>
      </w:pPr>
      <w:r>
        <w:rPr>
          <w:i/>
          <w:iCs/>
        </w:rPr>
        <w:t>During postdoctoral studies:</w:t>
      </w:r>
    </w:p>
    <w:p w14:paraId="3848672C" w14:textId="77777777" w:rsidR="00FA6E2B" w:rsidRDefault="00000000">
      <w:pPr>
        <w:spacing w:after="80"/>
        <w:ind w:left="360"/>
      </w:pPr>
      <w:r>
        <w:t>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20"/>
      </w:pPr>
      <w:r>
        <w:rPr>
          <w:i/>
          <w:iCs/>
        </w:rPr>
        <w:t>During PhD:</w:t>
      </w:r>
    </w:p>
    <w:p w14:paraId="5347EC6B" w14:textId="77777777" w:rsidR="00FA6E2B" w:rsidRDefault="00000000">
      <w:pPr>
        <w:spacing w:after="2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62884AD5" w14:textId="77777777" w:rsidR="00FA6E2B" w:rsidRDefault="00000000">
      <w:pPr>
        <w:keepNext/>
        <w:pBdr>
          <w:bottom w:val="single" w:sz="6" w:space="2" w:color="000000"/>
        </w:pBdr>
        <w:spacing w:before="140" w:after="100"/>
      </w:pPr>
      <w:r>
        <w:rPr>
          <w:b/>
          <w:bCs/>
          <w:spacing w:val="20"/>
        </w:rPr>
        <w:t>TEACHING</w:t>
      </w:r>
    </w:p>
    <w:p w14:paraId="21ABAC3E" w14:textId="77777777" w:rsidR="00FA6E2B" w:rsidRDefault="00000000">
      <w:pPr>
        <w:spacing w:after="20"/>
      </w:pPr>
      <w:r>
        <w:rPr>
          <w:b/>
          <w:bCs/>
        </w:rPr>
        <w:t>Teaching Assistant</w:t>
      </w:r>
      <w:r>
        <w:t>, Northwestern University (Department median 5.3/6)</w:t>
      </w:r>
    </w:p>
    <w:p w14:paraId="51FB785A" w14:textId="77777777" w:rsidR="00FA6E2B" w:rsidRDefault="00000000">
      <w:pPr>
        <w:spacing w:after="2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20"/>
      </w:pPr>
      <w:r>
        <w:rPr>
          <w:b/>
          <w:bCs/>
        </w:rPr>
        <w:t>Teaching Assistant</w:t>
      </w:r>
      <w:r>
        <w:t>, The Chinese University of Hong Kong</w:t>
      </w:r>
    </w:p>
    <w:p w:rsidR="00FA6E2B" w:rsidRDefault="00000000">
      <w:pPr>
        <w:spacing w:after="20"/>
        <w:ind w:left="360"/>
      </w:pPr>
      <w:r>
        <w:t>Mathematical Methods in Economics I, II, Family Economics, International Macroeconomics</w:t>
      </w:r>
    </w:p>
    <w:p w14:paraId="3744E685" w14:textId="77777777" w:rsidR="00FA6E2B" w:rsidRDefault="00000000">
      <w:pPr>
        <w:keepNext/>
        <w:pBdr>
          <w:bottom w:val="single" w:sz="6" w:space="2" w:color="000000"/>
        </w:pBdr>
        <w:spacing w:before="140" w:after="100"/>
      </w:pPr>
      <w:r>
        <w:rPr>
          <w:b/>
          <w:bCs/>
          <w:spacing w:val="20"/>
        </w:rPr>
        <w:t>LANGUAGES AND SKILLS</w:t>
      </w:r>
    </w:p>
    <w:p w14:paraId="694C3D47" w14:textId="77777777" w:rsidR="00FA6E2B" w:rsidRDefault="00000000">
      <w:pPr>
        <w:spacing w:after="20"/>
      </w:pPr>
      <w:r>
        <w:rPr>
          <w:b/>
          <w:bCs/>
        </w:rPr>
        <w:t xml:space="preserve">Citizenship: </w:t>
      </w:r>
      <w:r>
        <w:t>Hong Kong Special Administrative Region, China</w:t>
      </w:r>
    </w:p>
    <w:p w14:paraId="2CD7B924" w14:textId="77777777" w:rsidR="00FA6E2B" w:rsidRDefault="00000000">
      <w:pPr>
        <w:spacing w:after="20"/>
      </w:pPr>
      <w:r>
        <w:rPr>
          <w:b/>
          <w:bCs/>
        </w:rPr>
        <w:t xml:space="preserve">Languages: </w:t>
      </w:r>
      <w:r>
        <w:t>English (fluent), French (intermediate), Mandarin (fluent), Cantonese (native)</w:t>
      </w:r>
    </w:p>
    <w:p w14:paraId="6AE66694" w14:textId="77777777" w:rsidR="00FA6E2B" w:rsidRDefault="00000000">
      <w:pPr>
        <w:spacing w:after="2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140" w:after="100"/>
      </w:pPr>
      <w:r>
        <w:rPr>
          <w:b/>
          <w:bCs/>
          <w:spacing w:val="20"/>
        </w:rPr>
        <w:t>REFERENCES</w:t>
      </w:r>
    </w:p>
    <w:p w14:paraId="4EB96ED9" w14:textId="77777777" w:rsidR="00FA6E2B" w:rsidRDefault="00000000">
      <w:pPr>
        <w:keepNext/>
        <w:keepLines/>
        <w:tabs>
          <w:tab w:val="left" w:pos="4680"/>
        </w:tabs>
      </w:pPr>
      <w:r>
        <w:rPr>
          <w:b/>
          <w:bCs/>
        </w:rPr>
        <w:t>Professor Christopher Udry (Chair)</w:t>
      </w:r>
      <w:r>
        <w:tab/>
      </w:r>
      <w:r>
        <w:rPr>
          <w:b/>
          <w:bCs/>
        </w:rPr>
        <w:t>Professor Dean Karlan</w:t>
      </w:r>
    </w:p>
    <w:p w14:paraId="3ADE5319" w14:textId="77777777" w:rsidR="00FA6E2B" w:rsidRDefault="00000000">
      <w:pPr>
        <w:keepNext/>
        <w:keepLines/>
        <w:tabs>
          <w:tab w:val="left" w:pos="4680"/>
        </w:tabs>
      </w:pPr>
      <w:r>
        <w:t>Department of Economics</w:t>
        <w:tab/>
        <w:t>Department of Economics</w:t>
      </w:r>
    </w:p>
    <w:p w14:paraId="7E26BEDE" w14:textId="77777777" w:rsidR="00FA6E2B" w:rsidRDefault="00000000">
      <w:pPr>
        <w:keepNext/>
        <w:keepLines/>
        <w:tabs>
          <w:tab w:val="left" w:pos="4680"/>
        </w:tabs>
      </w:pPr>
      <w:r>
        <w:t>Northwestern University</w:t>
        <w:tab/>
        <w:t>Northwestern University</w:t>
      </w:r>
    </w:p>
    <w:p w14:paraId="2F755438" w14:textId="77777777" w:rsidR="00FA6E2B" w:rsidRDefault="00000000">
      <w:pPr>
        <w:keepNext/>
        <w:keepLines/>
        <w:tabs>
          <w:tab w:val="left" w:pos="4680"/>
        </w:tabs>
      </w:pPr>
      <w:r>
        <w:t>2211 Campus Drive, Evanston, IL 60208</w:t>
        <w:tab/>
        <w:t>2211 Campus Drive, Evanston, IL 60208</w:t>
      </w:r>
    </w:p>
    <w:p w14:paraId="2436F85F" w14:textId="77777777" w:rsidR="00FA6E2B" w:rsidRDefault="00000000">
      <w:pPr>
        <w:keepNext/>
        <w:keepLines/>
        <w:tabs>
          <w:tab w:val="left" w:pos="4680"/>
        </w:tabs>
      </w:pPr>
      <w:r>
        <w:t>(+1) 847-491-8216</w:t>
        <w:tab/>
        <w:t>(+1) 847-491-8706</w:t>
      </w:r>
    </w:p>
    <w:p w14:paraId="6BE32B34" w14:textId="77777777" w:rsidR="00FA6E2B" w:rsidRDefault="00000000">
      <w:pPr>
        <w:keepLines/>
        <w:tabs>
          <w:tab w:val="left" w:pos="4680"/>
        </w:tabs>
        <w:spacing w:after="120"/>
      </w:pPr>
      <w:hyperlink r:id="rId7" w:history="1">
        <w:r>
          <w:rPr>
            <w:rStyle w:val="Hyperlink"/>
          </w:rPr>
          <w:t>christopher.udry@northwestern.edu</w:t>
        </w:r>
      </w:hyperlink>
      <w:r>
        <w:tab/>
      </w:r>
      <w:hyperlink r:id="rId8" w:history="1">
        <w:r>
          <w:rPr>
            <w:rStyle w:val="Hyperlink"/>
          </w:rPr>
          <w:t>karlan@u.northwestern.edu</w:t>
        </w:r>
      </w:hyperlink>
    </w:p>
    <w:p w14:paraId="04FD49CE" w14:textId="77777777" w:rsidR="00FA6E2B" w:rsidRDefault="00000000">
      <w:pPr>
        <w:keepNext/>
        <w:keepLines/>
        <w:tabs>
          <w:tab w:val="left" w:pos="4680"/>
        </w:tabs>
      </w:pPr>
      <w:r>
        <w:rPr>
          <w:b/>
          <w:bCs/>
        </w:rPr>
        <w:t>Professor Lori Beaman</w:t>
      </w:r>
    </w:p>
    <w:p w14:paraId="04050422" w14:textId="77777777" w:rsidR="00FA6E2B" w:rsidRDefault="00000000">
      <w:pPr>
        <w:keepNext/>
        <w:keepLines/>
        <w:tabs>
          <w:tab w:val="left" w:pos="4680"/>
        </w:tabs>
      </w:pPr>
      <w:r>
        <w:t>Department of Economics</w:t>
      </w:r>
    </w:p>
    <w:p w14:paraId="4F7C4AD7" w14:textId="77777777" w:rsidR="00FA6E2B" w:rsidRDefault="00000000">
      <w:pPr>
        <w:keepNext/>
        <w:keepLines/>
        <w:tabs>
          <w:tab w:val="left" w:pos="4680"/>
        </w:tabs>
      </w:pPr>
      <w:r>
        <w:t>Northwestern University</w:t>
      </w:r>
    </w:p>
    <w:p w14:paraId="6E5006AD" w14:textId="77777777" w:rsidR="00FA6E2B" w:rsidRDefault="00000000">
      <w:pPr>
        <w:keepNext/>
        <w:keepLines/>
        <w:tabs>
          <w:tab w:val="left" w:pos="4680"/>
        </w:tabs>
      </w:pPr>
      <w:r>
        <w:t>2211 Campus Drive, Evanston, IL 60208</w:t>
      </w:r>
    </w:p>
    <w:p w14:paraId="6606288C" w14:textId="77777777" w:rsidR="00FA6E2B" w:rsidRDefault="00000000">
      <w:pPr>
        <w:keepNext/>
        <w:keepLines/>
        <w:tabs>
          <w:tab w:val="left" w:pos="4680"/>
        </w:tabs>
      </w:pPr>
      <w:r>
        <w:t>(+1) 847-491-5394</w:t>
      </w:r>
    </w:p>
    <w:p w14:paraId="154E6205" w14:textId="77777777" w:rsidR="00FA6E2B" w:rsidRDefault="00000000">
      <w:pPr>
        <w:keepLines/>
        <w:tabs>
          <w:tab w:val="left" w:pos="4680"/>
        </w:tabs>
        <w:spacing w:after="120"/>
      </w:pPr>
      <w:hyperlink r:id="rId9" w:history="1">
        <w:r>
          <w:rPr>
            <w:rStyle w:val="Hyperlink"/>
          </w:rPr>
          <w:t>l-beaman@northwestern.edu</w:t>
        </w:r>
      </w:hyperlink>
    </w:p>
    <w:sectPr w:rsidR="00FA6E2B">
      <w:pgSz w:w="12240" w:h="15840"/>
      <w:pgMar w:top="720" w:right="1440" w:bottom="72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