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microfounded evidence constraint that bounds motivated beliefs: an alternative’s weight is capped by its Bayesian posterior. Curiosity then arises endogenously as a drive to resolve model uncertainty created by evidence for an alternative. The model unifies classic belief-updating distortions with information-acquisition anomalies. It isolates new mechanisms for two effects central to memory models. First, context effects: payoff-irrelevant contexts under the default have limited effects, because they sway decisions only when another model renders them relevant, and ensuing search corrects superficial resemblances. Second, interference effects: rather than changing which representation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