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 A key margin is the integration of inquiry-based learning: the more agriculture contributes to science education, the stronger the complementarity between technology diffusion and schooling.</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two results follow. First, contrast matters because an alternative is activated only when the evidence makes the default indefensible against it, and thresholds govern how attention shifts: gradually, abruptly, or not at all. Search follows the weight she has moved, and what she looks at decides whether the shift holds.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