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Payoff-irrelevant contextual cues open a new perspective only when they activate an alternative under which they matter, and the curiosity this stimulates tests that perspective, so the shift lasts only if evidence supports it. Yet cues consistent with several alternatives can stifle exploration by dividing the evidence among them, even when each alternative outperforms the default. Development examples illustrate how to stimulate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