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4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studies the extent to which development program success hinges on strengthening these ties.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the labor-market returns to schooling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explain how SBAE’s design can be strengthened. A key margin is the integration of inquiry-based learning: the more agriculture contributes to science education, the stronger the complementarity between technology diffusion and schooling.</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I model contextual shifts in “mindsets” as a choice of how much model uncertainty to entertain: from a default mental model and a menu of latent, imprecise, and potentially more promising alternatives, an agent chooses how much attention to pay to each and how much information to acquire. This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reproduces regularities of neural remapping, with two principles for how curiosity can be stimulated.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be activated, however strong the evidence. I apply the framework to the design of information interventions for a school-based agricultural extension program in Liberia, and to pedagogy and learning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(5.4/6), Introduction to Macroeconomics (5.4/6), Intermediate Microeconomics (5.4/6), Intermediate Macroeconomics (5.7/6), International Trade (5.6/6), Economics of Nonprofit Organizations (5.8/6)</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