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8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29A0AB1" w14:textId="77777777" w:rsidR="00FA6E2B" w:rsidRDefault="00000000">
      <w:pPr>
        <w:keepNext/>
        <w:pBdr>
          <w:bottom w:val="single" w:sz="6" w:space="2" w:color="000000"/>
        </w:pBdr>
        <w:spacing w:before="180" w:after="100"/>
      </w:pPr>
      <w:r>
        <w:rPr>
          <w:b/>
          <w:bCs/>
          <w:spacing w:val="20"/>
        </w:rPr>
        <w:t>OTHER EMPLOYMENT</w:t>
      </w:r>
    </w:p>
    <w:p w14:paraId="6A98E00C" w14:textId="77777777" w:rsidR="00FA6E2B" w:rsidRDefault="00000000">
      <w:pPr>
        <w:tabs>
          <w:tab w:val="right" w:pos="9360"/>
        </w:tabs>
        <w:spacing w:after="20"/>
      </w:pPr>
      <w:r>
        <w:rPr>
          <w:b/>
          <w:bCs/>
        </w:rPr>
        <w:t>AI Trainer – Economics Expert (Flex time)</w:t>
      </w:r>
      <w:r>
        <w:t>, SpaceXAI</w:t>
        <w:tab/>
        <w:t>Apr 2026 – Present</w:t>
      </w:r>
    </w:p>
    <w:p w14:paraId="05D80B99" w14:textId="77777777" w:rsidR="00FA6E2B" w:rsidRDefault="00000000">
      <w:pPr>
        <w:keepNext/>
        <w:pBdr>
          <w:bottom w:val="single" w:sz="6" w:space="2" w:color="000000"/>
        </w:pBdr>
        <w:spacing w:before="18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Focus—Endogenous model uncertainty and information acquisition under cognitive limits</w:t>
      </w:r>
    </w:p>
    <w:p w14:paraId="795D7E78" w14:textId="77777777" w:rsidR="00FA6E2B" w:rsidRDefault="00000000">
      <w:pPr>
        <w:keepNext/>
        <w:pBdr>
          <w:bottom w:val="single" w:sz="6" w:space="2" w:color="000000"/>
        </w:pBdr>
        <w:spacing w:before="18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8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less-educated, poorly informed parents. This paper studies the extent to which development program success hinges on strengthening these ties. In a three-year Liberian experiment across 197 schools, I evaluate school-based agricultural extension (SBAE) against control, cross-randomizing whether to engage parents via promotional videos and field days. SBAE improves targeted outcomes only when paired with engagement: students’ households adopt 26–53% more agricultural techniques, dropouts fall 4–5 percentage points per year, absenteeism falls 28%, and studying hours rise 22%. The program is more cost-effective than most extension programs in Africa and over twice as cost-effective as conditional cash transfers in raising attendance.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studying hours fall 20%, and parents disconnect—reducing school farm visits 12% and parent–teacher meetings 39%. Parents’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that parental engagement shifts parents’ categorization of SBAE away from the “school-garden-as-drudgery” schema.</w:t>
      </w:r>
    </w:p>
    <w:p w14:paraId="7D95C4B3" w14:textId="77777777" w:rsidR="00FA6E2B" w:rsidRDefault="00000000">
      <w:pPr>
        <w:keepNext/>
        <w:pBdr>
          <w:bottom w:val="single" w:sz="6" w:space="2" w:color="000000"/>
        </w:pBdr>
        <w:spacing w:before="18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Diffusion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Efforts to raise agricultural productivity in sub-Saharan Africa are limited by substantial heterogeneity in which technologies are suitable across farms, while low perceived returns to schooling drive students to drop out. We develop a theoretical model of why school-based agricultural extension (SBAE) is particularly suited to address this dual problem. We build on the target-input model of learning about a technology’s appropriateness for one’s own land. We add two elements that vary the effectiveness of social learning: the signal the student observes on the school demonstration farm, and the signal the home project generates on the family’s own land. We derive three results. First, adoption and schooling are complements under SBAE: the same information raises both the value of using the new technology and the value of sending the child to school. Second, schooling acquires an option value on the farm: it raises the probability of adoption in a later season, so attendance can be optimal even where wage returns alone are low. Third, in the presence of a learning externality, SBAE aggregates information at a lower private cost than decentralized experimentation. We find strong support for these results in a randomized trial in Liberia.</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In standard theories of decision under model uncertainty, the weights an agent places on competing models of the world are not subject to cognitive limits. This paper models contextual shifts in “mindsets” as a choice of how much model uncertainty to entertain: from a precise default model and a menu of latent, imprecise, and potentially more promising alternatives, an agent chooses how much attention to pay to each and how much information to acquire. The choice is disciplined by a microfounded evidence constraint that bounds motivated beliefs: the weight assigned to an alternative is capped by its likelihood relative to the default and to the other alternatives. Curiosity then arises endogenously as a drive to resolve the model uncertainty that evidence for a more promising alternative creates. The model matches regularities of neural remapping, with two results that matter for stimulating curiosity. First, contrast matters because an alternative is activated only when the evidence makes the default indefensible against it, and thresholds govern how attention shifts: gradually, abruptly, or not at all. Second, concentration of evidence matters because several alternatives may each beat the default and yet none is activated. I apply the framework to the design of information interventions that aim to draw parents’ attention to a school-based agricultural extension program and to foster a conceptual understanding of pedagogy choice and learning efforts among teachers, students, and farmers.</w:t>
      </w:r>
    </w:p>
    <w:p w14:paraId="00000000" w14:textId="77777777" w:rsidR="00FA6E2B" w:rsidRDefault="00000000">
      <w:pPr>
        <w:pStyle w:val="ListParagraph"/>
        <w:numPr>
          <w:ilvl w:val="0"/>
          <w:numId w:val="2"/>
        </w:numPr>
        <w:spacing w:after="60"/>
      </w:pPr>
      <w:r>
        <w:rPr>
          <w:b/>
          <w:bCs/>
        </w:rPr>
        <w:t xml:space="preserve">“Communicating Parents’ Beliefs to Students as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further signaling parents’ support to students needed?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is pivotal in shifting students away from assisting in subsistence farming.</w:t>
      </w:r>
    </w:p>
    <w:p w14:paraId="219A419F" w14:textId="77777777" w:rsidR="00FA6E2B" w:rsidRDefault="00000000">
      <w:pPr>
        <w:keepNext/>
        <w:pBdr>
          <w:bottom w:val="single" w:sz="6" w:space="2" w:color="000000"/>
        </w:pBdr>
        <w:spacing w:before="18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8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8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80" w:after="100"/>
      </w:pPr>
      <w:r>
        <w:rPr>
          <w:b/>
          <w:bCs/>
          <w:spacing w:val="20"/>
        </w:rPr>
        <w:t>TEACHING</w:t>
      </w:r>
    </w:p>
    <w:p w14:paraId="21ABAC3E" w14:textId="77777777" w:rsidR="00FA6E2B" w:rsidRDefault="00000000">
      <w:pPr>
        <w:spacing w:after="20"/>
      </w:pPr>
      <w:r>
        <w:rPr>
          <w:b/>
          <w:bCs/>
        </w:rPr>
        <w:t>Teaching Assistant</w:t>
      </w:r>
      <w:r>
        <w:t>, Northwestern University</w:t>
      </w:r>
    </w:p>
    <w:p w14:paraId="51FB785A" w14:textId="77777777" w:rsidR="00FA6E2B" w:rsidRDefault="00000000">
      <w:pPr>
        <w:spacing w:after="20"/>
        <w:ind w:left="360"/>
      </w:pPr>
      <w:r>
        <w:t>Introduction to Microeconomics, Introduction to Macroeconomics, Intermediate Microeconomics II, Intermediate Macroeconomics, International Trade, Economics of Nonprofit Organizations</w:t>
      </w:r>
    </w:p>
    <w:p w14:paraId="3744E685" w14:textId="77777777" w:rsidR="00FA6E2B" w:rsidRDefault="00000000">
      <w:pPr>
        <w:keepNext/>
        <w:pBdr>
          <w:bottom w:val="single" w:sz="6" w:space="2" w:color="000000"/>
        </w:pBdr>
        <w:spacing w:before="18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8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900" w:right="1440" w:bottom="90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