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4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studies the extent to which development program success hinges on strengthening these ties.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technological suitability across farms, while low perceived returns to schooling drive students to drop out. We develop a theoretical model of why school-based agricultural extension (SBAE) is suited to address this dual problem. Our model builds on the target-input framework, in which farmers learn about a technology’s suitability only from its use in production, on their own farms or their neighbors’. We add two signals of technological suitability, from a school demonstration plot and a home project, both increasing in precision with the time the student devotes to school. Schooling and technology adoption become complements. First, schooling carries an option value on the farm: by raising the probability of future adoption, it makes attendance worthwhile even where labor-market returns are low. Second, SBAE decouples learning about a technology’s suitability from its use in production: households acquire information through their children’s schooling, and the returns to schooling pay for part of the cost of learning. We provide experimental evidence from Liberia that SBAE cost-effectively raises both agricultural technology adoption and school attendance, and use extensions of the model to study how SBAE’s design can be strengthened, including (i) how effectively agriculture and science education are integrated through inquiry-based learning,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I model contextual shifts in “mindsets” as a choice of how much model uncertainty to entertain: from a default mental model and a menu of latent, imprecise, and potentially more promising alternatives, an agent chooses how much attention to pay to each and how much information to acquire. This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reproduces regularities of neural remapping and unifies classic belief-updating distortions with information-acquisition anomalies. Two principles follow for how curiosity can be stimulated.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be activated, however strong the evidence. I apply the framework to the design of information interventions for a school-based agricultural extension program in Liberia, and to pedagogy and learning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