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under-staffed agricultural extension systems, while rural households face tradeoffs between children’s schooling and farm labor. This paper provides a proof of concept that schools can become cost-effective hubs for these dual challenges, but only if parent-school linkages are strengthened. In a three-year Liberian experiment across 197 schools, I evaluate school-based agricultural education (SBAE)—a holistic model that trains science teachers to integrate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school attendance as a conditional cash transfer benchmark (Baird et al. 2011). SBAE’s positive training effects on teachers and students are unaltered by parental engagement. However, without parental engagement, SBAE’s diffusion mechanisms—school demonstration farms, home projects, intra-household communication—stay muted. Technology adoption effects vanish, absenteeism rises 31%, studying hours fall 20%, and parents disconnect—reducing school farm visits 12% and parent–teacher meetings 39%. Parents’ persistent avoidance of information, plus sharply reversed responses under engagement, pose a puzzle. Bayesian updating, selective attention, and associative memory each fall short alone.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model in which trained science teachers integrate inquiry-based learning with school demonstration farms and student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