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whether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and absenteeism falls 28%. The program is more cost-effective than most extension programs in Africa and over twice as cost-effective as conditional cash transfers in raising attendance. SBAE has strong positive training effects that are unaltered by parental engagement. However, without parental engagement, SBAE’s diffusion mechanisms via school demonstration farms, home projects, and intra-household communication stay muted—technology adoption effects vanish, absenteeism rises 31%, and parents reduce school visits below control. Parents’ avoidance of information about a new program, plus reversed effects under engagement, poses a puzzle to Bayesian updating under a fixed prior. I attribute these patterns to parents conflating SBAE with a discredited school-garden preconception.</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“Catalyzing Technology Diffusion in Africa through School-Based Agricultural Extension”</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Neural Capacity Constraints”</w:t>
      </w:r>
    </w:p>
    <w:p w14:paraId="00000000" w14:textId="77777777" w:rsidR="00FA6E2B" w:rsidRDefault="00000000">
      <w:pPr>
        <w:spacing w:after="80" w:line="216" w:lineRule="auto"/>
        <w:ind w:left="720" w:right="360"/>
        <w:jc w:val="both"/>
      </w:pPr>
      <w:r>
        <w:rPr>
          <w:sz w:val="20"/>
          <w:szCs w:val="20"/>
        </w:rPr>
        <w:t xml:space="preserve">In standard models of decision under ambiguity, the weights an agent places on competing models of the world are taken as given. This paper models contextual shifts in “mindsets” as a choice of how much model uncertainty to entertain: from a precise default model and a menu of latent alternatives, an agent chooses how much attention to pay to each and how much information to acquire. The choice is disciplined against motivated beliefs by a microfounded capacity constraint: the weight assigned to an alternative is capped by its likelihood relative to the default and to the other alternatives. Curiosity then arises endogenously as a drive to resolve the ambiguity that activating alternatives creates. The model matches the documented regularities of neural remapping, with two results that matter for stimulating curiosity. First, framing of evidence matters because an alternative is activated only when the evidence makes the default indefensible against it, and threshold effects govern how attention shifts: gradually, abruptly, or not at all. Second, when several alternatives each beat the default, none may be activated, because evidence spread across rivals dilutes the weight each can carry.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