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increasingly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Two results follow. First, the evidence constraint interacts with a complementarity between model weights and information acquisition to create curiosity failures. Second, because agents can seek information and reason beyond what associative memory supplies, the framework isolates the influence of the information environment from hallmark behavioral effects in memory-based models (e.g., Bordalo et al., 2025, 2026). Last, I endogenize the menu of mental models, formalizing creative and critical thinking as complementary forms of cognitive dimension reduction that sustain curiosity. I illustrate the theory throughout with development programs, teacher training, and agricultural technology adoption.</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