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creativity, and critical thinking through the lens of cognitive map theory</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whether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and absenteeism falls 28%. The program is more cost-effective than most extension programs in Africa and over twice as cost-effective as conditional cash transfers in raising attendance. SBAE has strong positive training effects that are unaltered by parental engagement. However, without parental engagement, SBAE’s diffusion mechanisms via school demonstration farms, home projects, and intra-household communication stay muted—technology adoption effects vanish, absenteeism rises 31%, and parents reduce school visits below control. Parents’ avoidance of information about a new program, plus sharply reversed effects under engagement, poses a puzzle. I discuss how standard Bayesian updating under a fixed prior, selective attention, and associative memory each fall short as standalone explanations.</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particularly suited to address this dual problem. We build on the target-input model of learning about a technology’s appropriateness for one’s own land. We add two elements that vary the effectiveness of social learning: the signal the student observes on the school demonstration farm, and the signal the home project generates on the family’s own land. We derive three results. First, adoption and schooling are complements under SBAE: the same information raises both the value of using the new technology and the value of sending the child to school. Second, schooling acquires an option value on the farm: it raises the probability of adoption in a later season, so attendance can be optimal even where wage returns alone are low. Third, in the presence of a learning externality, SBAE aggregates information at a lower private cost than decentralized experimentation. We find strong support for these results in a randomized trial in Liberia.</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capacity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further signaling parents’ support to students needed?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