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 A key margin is the integration of agriculture into formal education: the more SBAE’s inquiry-based learning contributes to effective schooling, the stronger the complementarity between technology diffusion and schooling.</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Search follows the weight she has moved, and what she looks at decides whether the shift holds.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