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agricultural techniques, dropouts fall 4–5 percentage points per year, absenteeism falls 28%, and studying hours rise 22%. It is among the most cost-effective in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over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potentially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