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vastly under-staffed agricultural extension systems, while rural households face stark tradeoffs between children’s schooling and farm labor. This paper provides a proof of concept that schools can be developed into cost-effective hubs that tackle these dual challenges, but only if parent-school linkages are strengthened. In a three-year Liberian experiment across 197 schools, I evaluate school-based agricultural extension (SBAE)—which combines experiential science instruction, school farms as demonstration plots, and student home farming projects—against control, cross-randomizing whether to inform parents about SBAE’s inquiry-based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sub-Saharan African trials, and over twice as cost-effective as a widely cited cash-transfer benchmark for the region (Baird et al. 2011). SBAE has strong positive training effects on students that are unaltered by parental engagement. However, without parental engagement, SBAE’s diffusion mechanisms—school demonstration farms, home projects, intra-household communication—stay muted—technology adoption effects vanish, absenteeism rises 31%, studying hours fall 20%, and parents disconnect—reducing school farm visits 12% and parent–teacher meetings 39%. Parents’ persistent avoidance of information, plus sharply reversed responses under engagement, pose a puzzle. Standard Bayesian updating,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extension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