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40" w:after="6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0"/>
        <w:ind w:left="360"/>
      </w:pPr>
      <w:r>
        <w:t>Center for International Development, Harvard University</w:t>
      </w:r>
    </w:p>
    <w:p w14:paraId="795D7E78" w14:textId="77777777" w:rsidR="00FA6E2B" w:rsidRDefault="00000000">
      <w:pPr>
        <w:keepNext/>
        <w:pBdr>
          <w:bottom w:val="single" w:sz="6" w:space="2" w:color="000000"/>
        </w:pBdr>
        <w:spacing w:before="40" w:after="60"/>
      </w:pPr>
      <w:r>
        <w:rPr>
          <w:b/>
          <w:bCs/>
          <w:spacing w:val="20"/>
        </w:rPr>
        <w:t>EDUCATION</w:t>
      </w:r>
    </w:p>
    <w:p w14:paraId="12C9B357" w14:textId="77777777" w:rsidR="00FA6E2B" w:rsidRDefault="00000000">
      <w:pPr>
        <w:tabs>
          <w:tab w:val="right" w:pos="9360"/>
        </w:tabs>
        <w:spacing w:after="0"/>
      </w:pPr>
      <w:r>
        <w:rPr>
          <w:b/>
          <w:bCs/>
        </w:rPr>
        <w:t>Ph.D., Economics</w:t>
      </w:r>
      <w:r>
        <w:t>, Northwestern University</w:t>
        <w:tab/>
        <w:t>2024</w:t>
      </w:r>
    </w:p>
    <w:p w14:paraId="5EF1B9E4" w14:textId="77777777" w:rsidR="00FA6E2B" w:rsidRDefault="00000000">
      <w:pPr>
        <w:tabs>
          <w:tab w:val="right" w:pos="9360"/>
        </w:tabs>
        <w:spacing w:after="0"/>
      </w:pPr>
      <w:r>
        <w:rPr>
          <w:b/>
          <w:bCs/>
        </w:rPr>
        <w:t>M.Phil., Economics</w:t>
      </w:r>
      <w:r>
        <w:t>, The Chinese University of Hong Kong</w:t>
        <w:tab/>
        <w:t>2017</w:t>
      </w:r>
    </w:p>
    <w:p w14:paraId="7A753CE3" w14:textId="77777777" w:rsidR="00FA6E2B" w:rsidRDefault="00000000">
      <w:pPr>
        <w:tabs>
          <w:tab w:val="right" w:pos="9360"/>
        </w:tabs>
        <w:spacing w:after="0"/>
      </w:pPr>
      <w:r>
        <w:rPr>
          <w:b/>
          <w:bCs/>
        </w:rPr>
        <w:t>B.SSc., Economics</w:t>
      </w:r>
      <w:r>
        <w:t>, The Chinese University of Hong Kong</w:t>
        <w:tab/>
        <w:t>2015</w:t>
      </w:r>
    </w:p>
    <w:p w14:paraId="05D80B99" w14:textId="77777777" w:rsidR="00FA6E2B" w:rsidRDefault="00000000">
      <w:pPr>
        <w:keepNext/>
        <w:pBdr>
          <w:bottom w:val="single" w:sz="6" w:space="2" w:color="000000"/>
        </w:pBdr>
        <w:spacing w:before="40" w:after="60"/>
      </w:pPr>
      <w:r>
        <w:rPr>
          <w:b/>
          <w:bCs/>
          <w:spacing w:val="20"/>
        </w:rPr>
        <w:t>RESEARCH FIELDS</w:t>
      </w:r>
    </w:p>
    <w:p w14:paraId="4C41B1E4" w14:textId="77777777" w:rsidR="00FA6E2B" w:rsidRDefault="00000000">
      <w:r>
        <w:rPr>
          <w:b/>
          <w:bCs/>
        </w:rPr>
        <w:t>Development Economics, Program Evaluation</w:t>
      </w:r>
    </w:p>
    <w:p w14:paraId="0F525258" w14:textId="77777777" w:rsidR="00FA6E2B" w:rsidRDefault="00000000">
      <w:pPr>
        <w:spacing w:after="40"/>
        <w:ind w:left="360"/>
      </w:pPr>
      <w:r>
        <w:rPr>
          <w:i/>
          <w:iCs/>
        </w:rPr>
        <w:t>Focus—Synergies between Agriculture and Rural Education</w:t>
      </w:r>
    </w:p>
    <w:p w14:paraId="64363DC3" w14:textId="77777777" w:rsidR="00FA6E2B" w:rsidRDefault="00000000">
      <w:r>
        <w:rPr>
          <w:b/>
          <w:bCs/>
        </w:rPr>
        <w:t>Family Economics, Organizational Economics</w:t>
      </w:r>
    </w:p>
    <w:p w14:paraId="0FEC5AA1" w14:textId="77777777" w:rsidR="00FA6E2B" w:rsidRDefault="00000000">
      <w:pPr>
        <w:spacing w:after="0"/>
        <w:ind w:left="360"/>
      </w:pPr>
      <w:r>
        <w:rPr>
          <w:i/>
          <w:iCs/>
        </w:rPr>
        <w:t>Focus—Intergenerational Dynamics in Rural Household and Community Decision Making</w:t>
      </w:r>
    </w:p>
    <w:p w14:paraId="642DBDA1" w14:textId="77777777" w:rsidR="00FA6E2B" w:rsidRDefault="00000000">
      <w:r>
        <w:rPr>
          <w:b/>
          <w:bCs/>
        </w:rPr>
        <w:t>Behavioral Economics</w:t>
      </w:r>
    </w:p>
    <w:p w14:paraId="0F525259" w14:textId="77777777" w:rsidR="00FA6E2B" w:rsidRDefault="00000000">
      <w:pPr>
        <w:spacing w:after="40"/>
        <w:ind w:left="360"/>
      </w:pPr>
      <w:r>
        <w:rPr>
          <w:i/>
          <w:iCs/>
        </w:rPr>
        <w:t>Focus—The Economics of Curiosity: Endogenous Model Uncertainty under Cognitive Limits</w:t>
      </w:r>
    </w:p>
    <w:p w14:paraId="62884AD5" w14:textId="77777777" w:rsidR="00FA6E2B" w:rsidRDefault="00000000">
      <w:pPr>
        <w:keepNext/>
        <w:pBdr>
          <w:bottom w:val="single" w:sz="6" w:space="2" w:color="000000"/>
        </w:pBdr>
        <w:spacing w:before="40" w:after="60"/>
      </w:pPr>
      <w:r>
        <w:rPr>
          <w:b/>
          <w:bCs/>
          <w:spacing w:val="20"/>
        </w:rPr>
        <w:t>TEACHING</w:t>
      </w:r>
    </w:p>
    <w:p w14:paraId="21ABAC3E" w14:textId="77777777" w:rsidR="00FA6E2B" w:rsidRDefault="00000000">
      <w:pPr>
        <w:spacing w:after="0"/>
      </w:pPr>
      <w:r>
        <w:rPr>
          <w:b/>
          <w:bCs/>
        </w:rPr>
        <w:t>Teaching Assistant</w:t>
      </w:r>
      <w:r>
        <w:t>, Northwestern University (Department median 5.3/6)</w:t>
      </w:r>
    </w:p>
    <w:p w14:paraId="51FB785A" w14:textId="77777777" w:rsidR="00FA6E2B" w:rsidRDefault="00000000">
      <w:pPr>
        <w:spacing w:after="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0"/>
      </w:pPr>
      <w:r>
        <w:rPr>
          <w:b/>
          <w:bCs/>
        </w:rPr>
        <w:t>Teaching Assistant</w:t>
      </w:r>
      <w:r>
        <w:t>, The Chinese University of Hong Kong</w:t>
      </w:r>
    </w:p>
    <w:p w:rsidR="00FA6E2B" w:rsidRDefault="00000000">
      <w:pPr>
        <w:spacing w:after="0"/>
        <w:ind w:left="360"/>
      </w:pPr>
      <w:r>
        <w:t>Mathematical Methods in Economics I, II, Family Economics, Labor Economics, International Macroeconomics</w:t>
      </w:r>
    </w:p>
    <w:p w14:paraId="7EADC13A" w14:textId="77777777" w:rsidR="00FA6E2B" w:rsidRDefault="00000000">
      <w:pPr>
        <w:keepNext/>
        <w:pBdr>
          <w:bottom w:val="single" w:sz="6" w:space="2" w:color="000000"/>
        </w:pBdr>
        <w:spacing w:before="40" w:after="60"/>
      </w:pPr>
      <w:r>
        <w:rPr>
          <w:b/>
          <w:bCs/>
          <w:spacing w:val="20"/>
        </w:rPr>
        <w:t>JOB MARKET PAPER</w:t>
      </w:r>
    </w:p>
    <w:p w14:paraId="6ADADC82" w14:textId="77777777" w:rsidR="00FA6E2B" w:rsidRDefault="00000000">
      <w:pPr>
        <w:spacing w:after="0"/>
      </w:pPr>
      <w:r>
        <w:rPr>
          <w:b/>
          <w:bCs/>
        </w:rPr>
        <w:t>“Miscategorization as an Information Friction? Activating School-Based Agricultural Education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24" w:lineRule="auto"/>
        <w:ind w:left="360" w:right="360"/>
      </w:pPr>
      <w:r>
        <w:rPr>
          <w:sz w:val="22"/>
          <w:szCs w:val="22"/>
        </w:rPr>
        <w:t xml:space="preserve">Many developing countries have under-staffed agricultural extension systems, while rural households trade off children’s schooling with farm labor. This paper shows schools can become cost-effective hubs tackling these dual challenges, but only if parent-school linkages are strengthened. In a three-year Liberian experiment across 197 schools, I evaluate school-based agricultural education (SBAE)—a voluntary program training science teachers to integrate inquiry-based learning with student-led school demonstration farms and home farming projects—estimating intent-to-treat effects on randomly sampled students. I cross-randomize whether to inform parents about this integrated program via promotional videos and field days. SBAE improves targeted outcomes when paired with parental engagement: students’ households adopt 26–53% more yield-improving farming techniques, dropouts fall 4–5 percentage points per year, absenteeism falls 28%, and studying hours rise 22%. It is among the most cost-effective agricultural extension trials, and over twice as cost-effective for improving attendance as a conditional cash transfer benchmark. SBAE’s positive training effects on teachers and students are unaltered by parental engagement. However, without parental engagement, SBAE’s diffusion mechanisms—parents’ learning from school farms, home projects, intra-household communication—stay muted. Technology adoption effects vanish, absenteeism rises 31%, studying hours fall 20%, and parents disconnect: only a third of parents visit school farms in three years, visit frequency falls 12%, and parent–teacher meetings fall 39%. Parents’ persistent avoidance of information, plus sharply reversed responses under engagement, pose a puzzle. Bayesian updating, selective attention, and associative memory each fall short. I propose an integrative explanation: parental engagement shifts parents away from viewing agriculture and education as substitutes.</w:t>
      </w:r>
    </w:p>
    <w:p w14:paraId="7D95C4B3" w14:textId="77777777" w:rsidR="00FA6E2B" w:rsidRDefault="00000000">
      <w:pPr>
        <w:keepNext/>
        <w:pBdr>
          <w:bottom w:val="single" w:sz="6" w:space="2" w:color="000000"/>
        </w:pBdr>
        <w:spacing w:before="40" w:after="60"/>
      </w:pPr>
      <w:r>
        <w:rPr>
          <w:b/>
          <w:bCs/>
          <w:spacing w:val="20"/>
        </w:rPr>
        <w:t>WORKING PAPERS</w:t>
      </w:r>
    </w:p>
    <w:p w14:paraId="00000000" w14:textId="77777777" w:rsidR="00FA6E2B" w:rsidRDefault="00000000">
      <w:pPr>
        <w:pStyle w:val="ListParagraph"/>
        <w:numPr>
          <w:ilvl w:val="0"/>
          <w:numId w:val="2"/>
        </w:numPr>
        <w:spacing w:after="40"/>
      </w:pPr>
      <w:r>
        <w:rPr>
          <w:b/>
          <w:bCs/>
        </w:rPr>
        <w:t xml:space="preserve">“Technology Adoption and Schooling as Complements: The Promise of School-Based Agricultural Education in Africa”</w:t>
      </w:r>
      <w:r>
        <w:t xml:space="preserve"> (joint with Christopher Udry)</w:t>
      </w:r>
    </w:p>
    <w:p w14:paraId="00000000" w14:textId="77777777" w:rsidR="00FA6E2B" w:rsidRDefault="00000000">
      <w:pPr>
        <w:spacing w:after="60" w:line="202" w:lineRule="auto"/>
        <w:ind w:left="720" w:right="360"/>
        <w:jc w:val="both"/>
      </w:pPr>
      <w:r>
        <w:rPr>
          <w:sz w:val="20"/>
          <w:szCs w:val="20"/>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education (SBAE), a holistic program in which trained science teachers integrate inquiry-based learning with student-led school demonstration farms and home farming projects,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40"/>
      </w:pPr>
      <w:r>
        <w:rPr>
          <w:b/>
          <w:bCs/>
        </w:rPr>
        <w:t xml:space="preserve">“Endogenous Model Uncertainty and Curiosity under Cognitive Limits”</w:t>
      </w:r>
    </w:p>
    <w:p w14:paraId="00000000" w14:textId="77777777" w:rsidR="00FA6E2B" w:rsidRDefault="00000000">
      <w:pPr>
        <w:spacing w:after="60" w:line="202" w:lineRule="auto"/>
        <w:ind w:left="720" w:right="360"/>
        <w:jc w:val="both"/>
      </w:pPr>
      <w:r>
        <w:rPr>
          <w:sz w:val="20"/>
          <w:szCs w:val="20"/>
        </w:rPr>
        <w:t xml:space="preserve">What is curiosity: what leads a person to seek the information required to explore new perspectives? Neuroscience suggests that people automatically classify a situation before choosing how to act, drawing a familiar interpretation from similar past situations (e.g., a farmer attributing a neighbor’s unusually high yield to good weather). As observations become harder to reconcile with that interpretation, people entertain less familiar alternatives. This paper treats contextual shifts in “mindsets” as a choice of how much model uncertainty to entertain. Each mental model pairs a prior with a view of how observable features combine to reveal the state, so weighting models changes how a person interprets a situation. After an initial signal, an agent with a costless default and latent alternatives chooses these weights and how much information to acquire. The key discipline is a neurally grounded evidence constraint that bounds motivated beliefs: an alternative’s weight is capped by its Bayesian posterior. Curiosity arises endogenously as a drive to resolve the resulting model uncertainty that imposes hedging costs. By letting agents seek information and move beyond the interpretation supplied by associative memory, the model revises two hallmark effects of memory-based behavioral models. First, context effects: cues that are payoff-irrelevant under the default sway decisions only when they activate an alternative under which they matter, and the curiosity this creates drives self-correction. Persistent context effects thus reflect the information environment. Second, interference effects: cues consistent with several alternatives divide the evidence among them, so none may be activated and the agent stays incurious. I illustrate design principles for stimulating curiosity about new programs, pedagogies, and farming techniques using examples from development economics.</w:t>
      </w:r>
    </w:p>
    <w:p w14:paraId="00000000" w14:textId="77777777" w:rsidR="00FA6E2B" w:rsidRDefault="00000000">
      <w:pPr>
        <w:pStyle w:val="ListParagraph"/>
        <w:numPr>
          <w:ilvl w:val="0"/>
          <w:numId w:val="2"/>
        </w:numPr>
        <w:spacing w:after="40"/>
      </w:pPr>
      <w:r>
        <w:rPr>
          <w:b/>
          <w:bCs/>
        </w:rPr>
        <w:t xml:space="preserve">“Can Communicating Parents’ Beliefs to Students Be a Pivotal Component of Parental Engagement? Evidence from School-Based Agricultural Education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60" w:line="202"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education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40" w:after="60"/>
      </w:pPr>
      <w:r>
        <w:rPr>
          <w:b/>
          <w:bCs/>
          <w:spacing w:val="20"/>
        </w:rPr>
        <w:t>WORK IN PROGRESS</w:t>
      </w:r>
    </w:p>
    <w:p w14:paraId="00000000" w14:textId="77777777" w:rsidR="00FA6E2B" w:rsidRDefault="00000000">
      <w:pPr>
        <w:spacing w:after="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4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40"/>
      </w:pPr>
      <w:r>
        <w:rPr>
          <w:b/>
          <w:bCs/>
        </w:rPr>
        <w:t xml:space="preserve">“Parental Engagement in School-based Agricultural Education: Testing Mechanisms at Scale”</w:t>
      </w:r>
      <w:r>
        <w:t xml:space="preserve"> (piloted interventions in 2025-26)</w:t>
      </w:r>
    </w:p>
    <w:p w14:paraId="00000000" w14:textId="77777777" w:rsidR="00FA6E2B" w:rsidRDefault="00000000">
      <w:pPr>
        <w:pStyle w:val="ListParagraph"/>
        <w:numPr>
          <w:ilvl w:val="0"/>
          <w:numId w:val="3"/>
        </w:numPr>
        <w:spacing w:after="40"/>
      </w:pPr>
      <w:r>
        <w:rPr>
          <w:b/>
          <w:bCs/>
        </w:rPr>
        <w:t xml:space="preserve">“School-based Agricultural Education, Parental Engagement, and the Use of Unconditional Cash Transfers”</w:t>
      </w:r>
    </w:p>
    <w:p w14:paraId="00000000" w14:textId="77777777" w:rsidR="00FA6E2B" w:rsidRDefault="00000000">
      <w:pPr>
        <w:pStyle w:val="ListParagraph"/>
        <w:numPr>
          <w:ilvl w:val="0"/>
          <w:numId w:val="3"/>
        </w:numPr>
        <w:spacing w:after="4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40" w:after="6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0"/>
        <w:ind w:left="360"/>
      </w:pPr>
      <w:r>
        <w:t>AFD Fund for Innovation in Development ($1.2 mil; co-PI)</w:t>
        <w:tab/>
        <w:t>2025</w:t>
      </w:r>
    </w:p>
    <w:p w14:paraId="7C855BEC" w14:textId="77777777" w:rsidR="00FA6E2B" w:rsidRDefault="00000000">
      <w:pPr>
        <w:tabs>
          <w:tab w:val="right" w:pos="9360"/>
        </w:tabs>
        <w:spacing w:after="0"/>
        <w:ind w:left="360"/>
      </w:pPr>
      <w:r>
        <w:t>J-PAL Learning for All Initiative: Scaling Award ($222K; co-PI)</w:t>
        <w:tab/>
        <w:t>2024</w:t>
      </w:r>
    </w:p>
    <w:p w14:paraId="23245D21" w14:textId="77777777" w:rsidR="00FA6E2B" w:rsidRDefault="00000000">
      <w:pPr>
        <w:tabs>
          <w:tab w:val="right" w:pos="9360"/>
        </w:tabs>
        <w:spacing w:after="0"/>
        <w:ind w:left="360"/>
      </w:pPr>
      <w:r>
        <w:t>USAID Development Innovation Ventures ($395K; co-PI)</w:t>
        <w:tab/>
        <w:t>2022</w:t>
      </w:r>
    </w:p>
    <w:p w14:paraId="45158026" w14:textId="77777777" w:rsidR="00FA6E2B" w:rsidRDefault="00000000">
      <w:pPr>
        <w:tabs>
          <w:tab w:val="right" w:pos="9360"/>
        </w:tabs>
        <w:spacing w:after="0"/>
        <w:ind w:left="360"/>
      </w:pPr>
      <w:r>
        <w:t>Wellspring Foundation ($192K; co-PI)</w:t>
        <w:tab/>
        <w:t>2022</w:t>
      </w:r>
    </w:p>
    <w:p w14:paraId="64E1FE61" w14:textId="77777777" w:rsidR="00FA6E2B" w:rsidRDefault="00000000">
      <w:pPr>
        <w:tabs>
          <w:tab w:val="right" w:pos="9360"/>
        </w:tabs>
        <w:spacing w:after="0"/>
        <w:ind w:left="360"/>
      </w:pPr>
      <w:r>
        <w:t>AFD Fund for Innovation in Development ($1.2 mil; co-PI)</w:t>
        <w:tab/>
        <w:t>2021</w:t>
      </w:r>
    </w:p>
    <w:p w14:paraId="4CE8C181" w14:textId="77777777" w:rsidR="00FA6E2B" w:rsidRDefault="00000000">
      <w:pPr>
        <w:tabs>
          <w:tab w:val="right" w:pos="9360"/>
        </w:tabs>
        <w:spacing w:after="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0"/>
        <w:ind w:left="360"/>
      </w:pPr>
      <w:r>
        <w:t>J-PAL Learning for All Initiative ($400K; co-PI)</w:t>
        <w:tab/>
        <w:t>2025</w:t>
      </w:r>
    </w:p>
    <w:p w14:paraId="197A4B18" w14:textId="77777777" w:rsidR="00FA6E2B" w:rsidRDefault="00000000">
      <w:pPr>
        <w:tabs>
          <w:tab w:val="right" w:pos="9360"/>
        </w:tabs>
        <w:spacing w:after="0"/>
        <w:ind w:left="360"/>
      </w:pPr>
      <w:r>
        <w:t>Weiss Fund ($5K; Lead PI)</w:t>
        <w:tab/>
        <w:t>2022</w:t>
      </w:r>
    </w:p>
    <w:p w14:paraId="039FA679" w14:textId="77777777" w:rsidR="00FA6E2B" w:rsidRDefault="00000000">
      <w:pPr>
        <w:tabs>
          <w:tab w:val="right" w:pos="9360"/>
        </w:tabs>
        <w:spacing w:after="0"/>
        <w:ind w:left="360"/>
      </w:pPr>
      <w:r>
        <w:t>National Science Foundation ($451K; co-PI)</w:t>
        <w:tab/>
        <w:t>2020</w:t>
      </w:r>
    </w:p>
    <w:p w14:paraId="1EC21FC3" w14:textId="77777777" w:rsidR="00FA6E2B" w:rsidRDefault="00000000">
      <w:pPr>
        <w:tabs>
          <w:tab w:val="right" w:pos="9360"/>
        </w:tabs>
        <w:spacing w:after="0"/>
        <w:ind w:left="360"/>
      </w:pPr>
      <w:r>
        <w:t>Weiss Fund ($29K; Lead PI)</w:t>
        <w:tab/>
        <w:t>2020</w:t>
      </w:r>
    </w:p>
    <w:p w14:paraId="18495156" w14:textId="77777777" w:rsidR="00FA6E2B" w:rsidRDefault="00000000">
      <w:pPr>
        <w:tabs>
          <w:tab w:val="right" w:pos="9360"/>
        </w:tabs>
        <w:spacing w:after="0"/>
        <w:ind w:left="360"/>
      </w:pPr>
      <w:r>
        <w:t>Global Poverty Research Lab ($19K; Lead PI)</w:t>
        <w:tab/>
        <w:t>2019</w:t>
      </w:r>
    </w:p>
    <w:p w14:paraId="4FC20D62" w14:textId="77777777" w:rsidR="00FA6E2B" w:rsidRDefault="00000000">
      <w:pPr>
        <w:tabs>
          <w:tab w:val="right" w:pos="9360"/>
        </w:tabs>
        <w:spacing w:after="0"/>
        <w:ind w:left="360"/>
      </w:pPr>
      <w:r>
        <w:t>Buffett Institute for Global Affairs ($5K; Lead PI)</w:t>
        <w:tab/>
        <w:t>2019</w:t>
      </w:r>
    </w:p>
    <w:p w14:paraId="11D3DC52" w14:textId="77777777" w:rsidR="00FA6E2B" w:rsidRDefault="00000000">
      <w:pPr>
        <w:keepNext/>
        <w:pBdr>
          <w:bottom w:val="single" w:sz="6" w:space="2" w:color="000000"/>
        </w:pBdr>
        <w:spacing w:before="40" w:after="60"/>
      </w:pPr>
      <w:r>
        <w:rPr>
          <w:b/>
          <w:bCs/>
          <w:spacing w:val="20"/>
        </w:rPr>
        <w:t>INVITED PRESENTATIONS</w:t>
      </w:r>
    </w:p>
    <w:p w14:paraId="07B7FBED" w14:textId="77777777" w:rsidR="00FA6E2B" w:rsidRDefault="00000000">
      <w:pPr>
        <w:spacing w:after="0"/>
      </w:pPr>
      <w:r>
        <w:rPr>
          <w:i/>
          <w:iCs/>
        </w:rPr>
        <w:t>During postdoctoral studies:</w:t>
      </w:r>
    </w:p>
    <w:p w14:paraId="3848672C" w14:textId="77777777" w:rsidR="00FA6E2B" w:rsidRDefault="00000000">
      <w:pPr>
        <w:spacing w:after="80"/>
        <w:ind w:left="360"/>
      </w:pPr>
      <w:r>
        <w:t>Mundlak Workshop in Agricultural and Applied Economics (scheduled); 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0"/>
      </w:pPr>
      <w:r>
        <w:rPr>
          <w:i/>
          <w:iCs/>
        </w:rPr>
        <w:t>During PhD:</w:t>
      </w:r>
    </w:p>
    <w:p w14:paraId="5347EC6B" w14:textId="77777777" w:rsidR="00FA6E2B" w:rsidRDefault="00000000">
      <w:pPr>
        <w:spacing w:after="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3744E685" w14:textId="77777777" w:rsidR="00FA6E2B" w:rsidRDefault="00000000">
      <w:pPr>
        <w:keepNext/>
        <w:pBdr>
          <w:bottom w:val="single" w:sz="6" w:space="2" w:color="000000"/>
        </w:pBdr>
        <w:spacing w:before="40" w:after="60"/>
      </w:pPr>
      <w:r>
        <w:rPr>
          <w:b/>
          <w:bCs/>
          <w:spacing w:val="20"/>
        </w:rPr>
        <w:t>LANGUAGES AND SKILLS</w:t>
      </w:r>
    </w:p>
    <w:p w14:paraId="694C3D47" w14:textId="77777777" w:rsidR="00FA6E2B" w:rsidRDefault="00000000">
      <w:pPr>
        <w:spacing w:after="0"/>
      </w:pPr>
      <w:r>
        <w:rPr>
          <w:b/>
          <w:bCs/>
        </w:rPr>
        <w:t xml:space="preserve">Citizenship: </w:t>
      </w:r>
      <w:r>
        <w:t>Hong Kong Special Administrative Region, China</w:t>
      </w:r>
    </w:p>
    <w:p w14:paraId="2CD7B924" w14:textId="77777777" w:rsidR="00FA6E2B" w:rsidRDefault="00000000">
      <w:pPr>
        <w:spacing w:after="0"/>
      </w:pPr>
      <w:r>
        <w:rPr>
          <w:b/>
          <w:bCs/>
        </w:rPr>
        <w:t xml:space="preserve">Languages: </w:t>
      </w:r>
      <w:r>
        <w:t>English (fluent), French (intermediate), Mandarin (fluent), Cantonese (native)</w:t>
      </w:r>
    </w:p>
    <w:p w14:paraId="6AE66694" w14:textId="77777777" w:rsidR="00FA6E2B" w:rsidRDefault="00000000">
      <w:pPr>
        <w:spacing w:after="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40" w:after="60"/>
      </w:pPr>
      <w:r>
        <w:rPr>
          <w:b/>
          <w:bCs/>
          <w:spacing w:val="20"/>
        </w:rPr>
        <w:t>REFERENCES</w:t>
      </w:r>
    </w:p>
    <w:p w14:paraId="00000000" w14:textId="77777777" w:rsidR="00FA6E2B" w:rsidRDefault="00000000">
      <w:pPr>
        <w:keepNext/>
        <w:keepLines/>
        <w:tabs>
          <w:tab w:val="left" w:pos="4680"/>
        </w:tabs>
      </w:pPr>
      <w:r>
        <w:rPr>
          <w:b/>
          <w:bCs/>
        </w:rPr>
        <w:t xml:space="preserve">Professor Christopher Udry (Chair)</w:t>
      </w:r>
      <w:r>
        <w:tab/>
      </w:r>
      <w:r>
        <w:rPr>
          <w:b/>
          <w:bCs/>
        </w:rPr>
        <w:t xml:space="preserve">Professor Dean Karlan</w:t>
      </w:r>
    </w:p>
    <w:p w14:paraId="00000000" w14:textId="77777777" w:rsidR="00FA6E2B" w:rsidRDefault="00000000">
      <w:pPr>
        <w:keepNext/>
        <w:keepLines/>
        <w:tabs>
          <w:tab w:val="left" w:pos="4680"/>
        </w:tabs>
      </w:pPr>
      <w:r>
        <w:t xml:space="preserve">Department of Economics</w:t>
      </w:r>
      <w:r>
        <w:tab/>
      </w:r>
      <w:r>
        <w:t xml:space="preserve">Department of Economics</w:t>
      </w:r>
    </w:p>
    <w:p w14:paraId="00000000" w14:textId="77777777" w:rsidR="00FA6E2B" w:rsidRDefault="00000000">
      <w:pPr>
        <w:keepNext/>
        <w:keepLines/>
        <w:tabs>
          <w:tab w:val="left" w:pos="4680"/>
        </w:tabs>
      </w:pPr>
      <w:r>
        <w:t xml:space="preserve">Northwestern University</w:t>
      </w:r>
      <w:r>
        <w:tab/>
      </w:r>
      <w:r>
        <w:t xml:space="preserve">Northwestern University</w:t>
      </w:r>
    </w:p>
    <w:p w14:paraId="00000000" w14:textId="77777777" w:rsidR="00FA6E2B" w:rsidRDefault="00000000">
      <w:pPr>
        <w:keepNext/>
        <w:keepLines/>
        <w:tabs>
          <w:tab w:val="left" w:pos="4680"/>
        </w:tabs>
      </w:pPr>
      <w:r>
        <w:t xml:space="preserve">2211 Campus Drive, Evanston, IL 60208</w:t>
      </w:r>
      <w:r>
        <w:tab/>
      </w:r>
      <w:r>
        <w:t xml:space="preserve">2211 Campus Drive, Evanston, IL 60208</w:t>
      </w:r>
    </w:p>
    <w:p w14:paraId="00000000" w14:textId="77777777" w:rsidR="00FA6E2B" w:rsidRDefault="00000000">
      <w:pPr>
        <w:keepNext/>
        <w:keepLines/>
        <w:tabs>
          <w:tab w:val="left" w:pos="4680"/>
        </w:tabs>
      </w:pPr>
      <w:r>
        <w:t xml:space="preserve">(+1) 847-491-8216</w:t>
      </w:r>
      <w:r>
        <w:tab/>
      </w:r>
      <w:r>
        <w:t xml:space="preserve">(+1) 847-491-8706</w:t>
      </w:r>
    </w:p>
    <w:p w14:paraId="00000000" w14:textId="77777777" w:rsidR="00FA6E2B" w:rsidRDefault="00000000">
      <w:pPr>
        <w:keepNext/>
        <w:keepLines/>
        <w:tabs>
          <w:tab w:val="left" w:pos="4680"/>
        </w:tabs>
        <w:spacing w:after="60"/>
      </w:pPr>
      <w:r>
        <w:t xml:space="preserve">christopher.udry@northwestern.edu</w:t>
      </w:r>
      <w:r>
        <w:tab/>
      </w:r>
      <w:r>
        <w:t xml:space="preserve">karlan@u.northwestern.edu</w:t>
      </w:r>
    </w:p>
    <w:p w14:paraId="00000000" w14:textId="77777777" w:rsidR="00FA6E2B" w:rsidRDefault="00000000">
      <w:pPr>
        <w:keepNext/>
        <w:keepLines/>
      </w:pPr>
      <w:r>
        <w:rPr>
          <w:b/>
          <w:bCs/>
        </w:rPr>
        <w:t xml:space="preserve">Professor Lori Beaman</w:t>
      </w:r>
    </w:p>
    <w:p w14:paraId="00000000" w14:textId="77777777" w:rsidR="00FA6E2B" w:rsidRDefault="00000000">
      <w:pPr>
        <w:keepNext/>
        <w:keepLines/>
      </w:pPr>
      <w:r>
        <w:t xml:space="preserve">Department of Economics</w:t>
      </w:r>
    </w:p>
    <w:p w14:paraId="00000000" w14:textId="77777777" w:rsidR="00FA6E2B" w:rsidRDefault="00000000">
      <w:pPr>
        <w:keepNext/>
        <w:keepLines/>
      </w:pPr>
      <w:r>
        <w:t xml:space="preserve">Northwestern University</w:t>
      </w:r>
    </w:p>
    <w:p w14:paraId="00000000" w14:textId="77777777" w:rsidR="00FA6E2B" w:rsidRDefault="00000000">
      <w:pPr>
        <w:keepNext/>
        <w:keepLines/>
      </w:pPr>
      <w:r>
        <w:t xml:space="preserve">2211 Campus Drive, Evanston, IL 60208</w:t>
      </w:r>
    </w:p>
    <w:p w14:paraId="00000000" w14:textId="77777777" w:rsidR="00FA6E2B" w:rsidRDefault="00000000">
      <w:pPr>
        <w:keepNext/>
        <w:keepLines/>
      </w:pPr>
      <w:r>
        <w:t xml:space="preserve">(+1) 847-491-5394</w:t>
      </w:r>
    </w:p>
    <w:p w14:paraId="00000000" w14:textId="77777777" w:rsidR="00FA6E2B" w:rsidRDefault="00000000">
      <w:pPr>
        <w:keepNext/>
        <w:keepLines/>
      </w:pPr>
      <w:r>
        <w:t xml:space="preserve">l-beaman@northwestern.edu</w:t>
      </w:r>
    </w:p>
    <w:sectPr w:rsidR="00FA6E2B">
      <w:pgSz w:w="12240" w:h="15840"/>
      <w:pgMar w:top="648" w:right="1260" w:bottom="648" w:left="1260" w:header="540" w:footer="5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