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less familiar alternatives. This paper treats contextual shifts in “mindsets” as a choice of how much model uncertainty to entertain. Each mental model pairs a prior with a view of how observable features combine to reveal the state, so weighting models changes how a person interprets a situation. After an initial signal, an agent with a costless default and latent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informational mechanisms for two effects central to models of associative memory. First, context effects: cues that are payoff-irrelevant under the default sway decisions only when they activate an alternative under which they matter,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