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alternatives jointly chooses model weights and how much information to acquire. The key discipline is a neurally grounded evidence constraint that bounds motivated beliefs: an alternative’s weight is capped by its Bayesian posterior. Curiosity then arises endogenously as the value of resolving the model uncertainty triggered by the initial signal. By letting agents seek information and move beyond what associative memory supplies, the model shows that people’s susceptibility to cognitive biases depends on the information environment, thereby revising two hallmark effects in memory-based models. First, context effects: contextual cues that are payoff-irrelevant under the default sway decisions only when they activate an alternative under which they matter, and the curiosity this creates drives self-correction. Second, interference effects: cues consistent with several alternatives divide the evidence among them, so none may be activated and the agent stays with the default even when each alternative outperforms it. Development examples illustrate principles for stimulating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