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 A key margin is the integration of agriculture into formal education: the more SBAE’s inquiry-based learning contributes to effective schooling, the stronger the complementarity between technology diffusion and schooling.</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two results follow. First, contrast matters because an alternative is activated only when the evidence makes the default indefensible against it, and thresholds govern how attention shifts: gradually, abruptly, or not at all. Search follows the weight she has moved, and what she looks at decides whether the shift holds.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