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2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Aug 2026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20"/>
        <w:ind w:left="360"/>
      </w:pPr>
      <w:r>
        <w:t>Center for International Development, Harvard University</w:t>
      </w:r>
    </w:p>
    <w:p w14:paraId="029A0AB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EMPLOYMENT</w:t>
      </w:r>
    </w:p>
    <w:p w14:paraId="6A98E00C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AI Trainer – Economics Expert (Flex time)</w:t>
      </w:r>
      <w:r>
        <w:t>, xAI</w:t>
        <w:tab/>
        <w:t>Apr 2026 – Present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 and Scaling</w:t>
      </w:r>
    </w:p>
    <w:p w14:paraId="0F525258" w14:textId="77777777" w:rsidR="00FA6E2B" w:rsidRDefault="00000000">
      <w:pPr>
        <w:spacing w:after="60"/>
        <w:ind w:left="360"/>
      </w:pPr>
      <w:r>
        <w:rPr>
          <w:i/>
          <w:iCs/>
        </w:rPr>
        <w:t>Focus—Synergies between Agriculture, Rural Education, and Digital Technologies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0FEC5AA1" w14:textId="77777777" w:rsidR="00FA6E2B" w:rsidRDefault="00000000">
      <w:pPr>
        <w:spacing w:after="20"/>
        <w:ind w:left="360"/>
      </w:pPr>
      <w:r>
        <w:rPr>
          <w:i/>
          <w:iCs/>
        </w:rPr>
        <w:t>Focus—Intergenerational Dynamics in Rural Household and Community Decision Making</w:t>
      </w:r>
    </w:p>
    <w:p w14:paraId="642DBDA1" w14:textId="77777777" w:rsidR="00FA6E2B" w:rsidRDefault="00000000">
      <w:r>
        <w:rPr>
          <w:b/>
          <w:bCs/>
        </w:rPr>
        <w:t>Behavioral Economics with applications in program evaluation, agriculture, and education</w:t>
      </w:r>
    </w:p>
    <w:p w14:paraId="49D0A427" w14:textId="77777777" w:rsidR="00FA6E2B" w:rsidRDefault="00000000">
      <w:pPr>
        <w:spacing w:after="60"/>
        <w:ind w:left="360"/>
      </w:pPr>
      <w:r>
        <w:rPr>
          <w:i/>
          <w:iCs/>
        </w:rPr>
        <w:t>Focus—Modeling how agents jointly choose how much weight to place on mental model(s) alternative to a default—possibly several at once—and how much effort to invest in acquiring information about a new situation, under neural capacity constraints</w:t>
        <w:br/>
        <w:br/>
        <w:t xml:space="preserve">With implications for designing interventions that overcome preconceptions and stimulate curiosity, and for measuring beliefs under (possibly) multiple priors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20"/>
      </w:pPr>
      <w:r>
        <w:rPr>
          <w:b/>
          <w:bCs/>
        </w:rPr>
        <w:t>“Miscategorization as an Information Friction: Activating School-Based Agricultural Extension in Liberia with Parental Engagement”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6269A701" w14:textId="77777777" w:rsidR="00FA6E2B" w:rsidRDefault="00000000">
      <w:pPr>
        <w:spacing w:after="100" w:line="238" w:lineRule="auto"/>
        <w:ind w:left="360" w:right="360"/>
      </w:pPr>
      <w:r>
        <w:rPr>
          <w:sz w:val="20"/>
          <w:szCs w:val="20"/>
        </w:rPr>
        <w:t xml:space="preserve">Schools in developing countries often have weak ties with parents. This paper studies whether program success hinges on these ties. In a three-year Liberian experiment, I evaluate school-based agricultural extension (SBAE), cross-randomizing parental engagement via promotional videos and field days. SBAE improves outcomes only when paired with engagement: students’ households adopt 26–53% more techniques, dropouts fall 4–5 percentage points, and absenteeism falls 28%. Without it, SBAE’s mechanisms stay muted—effects vanish, absenteeism rises 31%, and parents reduce school visits below control. Information avoidance, plus reversed effects under engagement, challenges standard Bayesian learning. I attribute these patterns to parents conflating SBAE with a discredited school-garden preconception.</w:t>
      </w:r>
    </w:p>
    <w:p w14:paraId="7D95C4B3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PAPERS</w:t>
      </w:r>
    </w:p>
    <w:p w14:paraId="75A80D98" w14:textId="77777777" w:rsidR="00FA6E2B" w:rsidRDefault="00000000">
      <w:pPr>
        <w:spacing w:after="20"/>
      </w:pPr>
      <w:r>
        <w:rPr>
          <w:b/>
          <w:bCs/>
        </w:rPr>
        <w:t>“Communicating Parents’ Beliefs to Students within Parental Engagement: Evidence from School-Based Agricultural Extension in Liberia”</w:t>
      </w:r>
    </w:p>
    <w:p w14:paraId="4B1E891D" w14:textId="77777777" w:rsidR="00FA6E2B" w:rsidRDefault="00000000">
      <w:pPr>
        <w:spacing w:after="80"/>
      </w:pPr>
      <w:r>
        <w:rPr>
          <w:i/>
          <w:iCs/>
        </w:rPr>
        <w:t>(Funded by NSF, Weiss Fund, Global Poverty Research Lab, and the Buffett Institute for Global Affairs)</w:t>
      </w:r>
    </w:p>
    <w:p w14:paraId="6269A702" w14:textId="77777777" w:rsidR="00FA6E2B" w:rsidRDefault="00000000">
      <w:pPr>
        <w:spacing w:after="100" w:line="238" w:lineRule="auto"/>
        <w:ind w:left="360" w:right="360"/>
      </w:pPr>
      <w:r>
        <w:rPr>
          <w:sz w:val="20"/>
          <w:szCs w:val="20"/>
        </w:rPr>
        <w:t xml:space="preserve">When school programs require students to change behavior at home, is engaging parents enough, or is signaling their support to students necessary? In a randomized evaluation of school-based agricultural extension across 197 Liberian schools, I design a nudge revealing to students their parents’ optimism about their farm-management skills. Two years later, SBAE improves students’ livelihoods and schooling only with it: income rises 63%, on-time school fee payment 43–47%, and cost-effectiveness for attendance doubles. Farm interactions unique to the targeted parent-student dyad pinpoint the mechanism: even where engaged parents adopt promoted techniques, third-party communication is pivotal in shifting students away from subsistence farming.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WORK IN PROGRESS</w:t>
      </w:r>
    </w:p>
    <w:p w14:paraId="35D42570" w14:textId="77777777" w:rsidR="00FA6E2B" w:rsidRDefault="00000000">
      <w:pPr>
        <w:spacing w:after="20"/>
      </w:pPr>
      <w:r>
        <w:rPr>
          <w:i/>
          <w:iCs/>
        </w:rPr>
        <w:t>Behavioral economic theory with applications in program evaluation, agriculture, and education</w:t>
      </w:r>
    </w:p>
    <w:p w14:paraId="26AD07C4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“Default Mental Model, Alternative(s) Activation, and Information Acquisition under Neural Capacity Constraints: Theory and Belief Measurements”</w:t>
      </w:r>
    </w:p>
    <w:p w14:paraId="570FA805" w14:textId="77777777" w:rsidR="00FA6E2B" w:rsidRDefault="00000000">
      <w:pPr>
        <w:spacing w:after="20"/>
      </w:pPr>
      <w:r>
        <w:rPr>
          <w:i/>
          <w:iCs/>
        </w:rPr>
        <w:t>Policy paper with a model explaining SBAE’s promise in an environment characterized by substantial heterogeneity in suitable agricultural technologies</w:t>
      </w:r>
    </w:p>
    <w:p w14:paraId="0EAD9C0A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“Catalyzing Technology Diffusion in Africa through School-Based Agricultural Extension”</w:t>
      </w:r>
      <w:r>
        <w:t xml:space="preserve"> (joint with Chris Udry)</w:t>
      </w:r>
    </w:p>
    <w:p w14:paraId="3547E567" w14:textId="77777777" w:rsidR="00FA6E2B" w:rsidRDefault="00000000">
      <w:pPr>
        <w:spacing w:after="20"/>
      </w:pPr>
      <w:r>
        <w:rPr>
          <w:i/>
          <w:iCs/>
        </w:rPr>
        <w:t>Scheduled RCTs on the scaling of SBAE in 2026-29</w:t>
      </w:r>
    </w:p>
    <w:p w14:paraId="22387BFC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“Learning to Learn: Synergizing Inquiry-based Science and Agricultural Transformation”</w:t>
      </w:r>
      <w:r>
        <w:t xml:space="preserve"> (joint with Vesall Nourani, Harvard GSE)</w:t>
      </w:r>
    </w:p>
    <w:p w14:paraId="6BF924AC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“Parental Engagement in School-based Agricultural Extension: Testing Mechanisms at Scale”</w:t>
      </w:r>
      <w:r>
        <w:t xml:space="preserve"> (piloted interventions in 2025-26)</w:t>
      </w:r>
    </w:p>
    <w:p w14:paraId="5000C82E" w14:textId="77777777" w:rsidR="00FA6E2B" w:rsidRDefault="00000000">
      <w:pPr>
        <w:spacing w:after="20"/>
      </w:pPr>
      <w:r>
        <w:rPr>
          <w:i/>
          <w:iCs/>
        </w:rPr>
        <w:t>Long-run scaling of SBAE across Liberia, Côte d’Ivoire, and Kenya in 2026-35</w:t>
      </w:r>
    </w:p>
    <w:p w14:paraId="490C638D" w14:textId="77777777" w:rsidR="00FA6E2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“Directed Technical Change under Customized Farming Advice: An Empirical Framework”</w:t>
      </w:r>
    </w:p>
    <w:p w14:paraId="7B540610" w14:textId="77777777" w:rsidR="00FA6E2B" w:rsidRDefault="00000000">
      <w:pPr>
        <w:spacing w:after="60"/>
        <w:ind w:left="360"/>
      </w:pPr>
      <w:r>
        <w:rPr>
          <w:i/>
          <w:iCs/>
        </w:rPr>
        <w:t>(grant from Weiss Fund; piloted survey method; planning RCT)</w:t>
      </w:r>
    </w:p>
    <w:p w14:paraId="61799EF4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“Parental Engagement and the Use of Unconditional Cash Transfers”</w:t>
      </w:r>
    </w:p>
    <w:p w14:paraId="11D3DC52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2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National Chung Cheng University; NYU Africa House–Center for Technology, Economics, and Development (CTED); Mohammed VI Polytechnic University (UM6P); Tel Aviv University; Oklahoma State University; Harvard Graduate School of Education; Harvard Center for International Development; Africa Food Systems Forum 2024</w:t>
      </w:r>
    </w:p>
    <w:p w14:paraId="4CAAE60A" w14:textId="77777777" w:rsidR="00FA6E2B" w:rsidRDefault="00000000">
      <w:pPr>
        <w:spacing w:after="2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2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2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2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2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2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2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20"/>
        <w:ind w:left="360"/>
      </w:pPr>
      <w:r>
        <w:t>Buffett Institute for Global Affairs ($5K; Lead PI)</w:t>
        <w:tab/>
        <w:t>2019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2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20"/>
        <w:ind w:left="360"/>
      </w:pPr>
      <w:r>
        <w:t>Introduction to Microeconomics, Introduction to Macroeconomics, Intermediate Microeconomics II, Intermediate Macroeconomics, International Trade, Economics of Nonprofit Organizations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2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2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2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REFERENCES</w:t>
      </w:r>
    </w:p>
    <w:p w14:paraId="4EB96ED9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Christopher Udry (Chair)</w:t>
      </w:r>
      <w:r>
        <w:tab/>
      </w:r>
      <w:r>
        <w:rPr>
          <w:b/>
          <w:bCs/>
        </w:rPr>
        <w:t>Professor Dean Karlan</w:t>
      </w:r>
    </w:p>
    <w:p w14:paraId="3ADE5319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Department of Economics</w:t>
      </w:r>
    </w:p>
    <w:p w14:paraId="7E26BEDE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Northwestern University</w:t>
      </w:r>
    </w:p>
    <w:p w14:paraId="2F755438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2211 Campus Drive, Evanston, IL 60208</w:t>
      </w:r>
    </w:p>
    <w:p w14:paraId="2436F85F" w14:textId="77777777" w:rsidR="00FA6E2B" w:rsidRDefault="00000000">
      <w:pPr>
        <w:keepNext/>
        <w:keepLines/>
        <w:tabs>
          <w:tab w:val="left" w:pos="4680"/>
        </w:tabs>
      </w:pPr>
      <w:r>
        <w:t>(+1) 847-491-8216</w:t>
        <w:tab/>
        <w:t>(+1) 847-491-8706</w:t>
      </w:r>
    </w:p>
    <w:p w14:paraId="6BE32B34" w14:textId="77777777" w:rsidR="00FA6E2B" w:rsidRDefault="00000000">
      <w:pPr>
        <w:keepLines/>
        <w:tabs>
          <w:tab w:val="left" w:pos="4680"/>
        </w:tabs>
        <w:spacing w:after="120"/>
      </w:pPr>
      <w:hyperlink r:id="rId7" w:history="1">
        <w:r>
          <w:rPr>
            <w:rStyle w:val="Hyperlink"/>
          </w:rPr>
          <w:t>christopher.udry@northwestern.edu</w:t>
        </w:r>
      </w:hyperlink>
      <w:r>
        <w:tab/>
      </w:r>
      <w:hyperlink r:id="rId8" w:history="1">
        <w:r>
          <w:rPr>
            <w:rStyle w:val="Hyperlink"/>
          </w:rPr>
          <w:t>karlan@u.northwestern.edu</w:t>
        </w:r>
      </w:hyperlink>
    </w:p>
    <w:p w14:paraId="04FD49CE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Lori Beaman</w:t>
      </w:r>
      <w:r>
        <w:tab/>
      </w:r>
      <w:r>
        <w:rPr>
          <w:b/>
          <w:bCs/>
        </w:rPr>
        <w:t>Professor Vesall Nourani</w:t>
      </w:r>
    </w:p>
    <w:p w14:paraId="04050422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Graduate School of Education</w:t>
      </w:r>
    </w:p>
    <w:p w14:paraId="4F7C4AD7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Harvard University</w:t>
      </w:r>
    </w:p>
    <w:p w14:paraId="6E5006AD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13 Appian Way, Cambridge, MA 02138</w:t>
      </w:r>
    </w:p>
    <w:p w14:paraId="6606288C" w14:textId="77777777" w:rsidR="00FA6E2B" w:rsidRDefault="00000000">
      <w:pPr>
        <w:keepNext/>
        <w:keepLines/>
        <w:tabs>
          <w:tab w:val="left" w:pos="4680"/>
        </w:tabs>
      </w:pPr>
      <w:r>
        <w:t>(+1) 847-491-5394</w:t>
        <w:tab/>
        <w:t>(+1) 248-765-2414</w:t>
      </w:r>
    </w:p>
    <w:p w14:paraId="154E6205" w14:textId="77777777" w:rsidR="00FA6E2B" w:rsidRDefault="00000000">
      <w:pPr>
        <w:keepLines/>
        <w:tabs>
          <w:tab w:val="left" w:pos="4680"/>
        </w:tabs>
        <w:spacing w:after="120"/>
      </w:pPr>
      <w:hyperlink r:id="rId9" w:history="1">
        <w:r>
          <w:rPr>
            <w:rStyle w:val="Hyperlink"/>
          </w:rPr>
          <w:t>l-beaman@northwestern.edu</w:t>
        </w:r>
      </w:hyperlink>
      <w:r>
        <w:tab/>
      </w:r>
      <w:hyperlink r:id="rId10" w:history="1">
        <w:r>
          <w:rPr>
            <w:rStyle w:val="Hyperlink"/>
          </w:rPr>
          <w:t>vesall_nourani@g.harvard.edu</w:t>
        </w:r>
      </w:hyperlink>
    </w:p>
    <w:sectPr w:rsidR="00FA6E2B">
      <w:pgSz w:w="12240" w:h="15840"/>
      <w:pgMar w:top="900" w:right="144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