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can self-correct, but this can be hindered when the space of model exploration strains cognitive limits. Model-switching and associative-memory models of categorization capture this partially: they allow one model at a time and abstract from information acquisition. I model contextual shifts in “mindsets” as a choice of how much model uncertainty to entertain: after an initial signal, a decision maker with a default mental model and latent, less precise alternatives jointly chooses how much attention to give each and how much information to acquire. The key discipline is a neurally grounded evidence constraint that bounds motivated beliefs: an alternative’s weight is capped by its Bayesian posterior. Curiosity then arises endogenously as a drive to resolve model uncertainty created by evidence for an alternative. The model links behavioral puzzles in belief updating and information acquisition. It isolates new mechanisms for two effects central to memory models.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can dilute one another’s support, leaving none activated and search dormant. I illustrate design principles where stimulating continuous model exploration is crucial: drawing parents’ attention to school-based agricultural extension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