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have the capacity to self-correct, but it can be hindered when the space of model exploration strains cognitive limits. Model-switching theories and behavioral models of categorization capture this partially: they allow one model at a time and abstract from information acquisition. I model shifts in “mindsets” as a choice of how much model uncertainty to entertain: given a default mental model and a menu of latent, higher-payoff alternatives, a decision maker jointly chooses how much attention to give each and how much information to acquire. A microfounded evidence constraint bounds motivated beliefs: the weight an alternative can carry is capped by its Bayesian posterior probability. Curiosity then arises endogenously as a drive to resolve model uncertainty from evidence for a higher-payoff alternative. The model reproduces neural remapping regularities and unifies belief-updating distortions with information-acquisition anomalies. It offers new mechanisms for two effects central to associative memory. First, context effects: cues matter through the explanations they support, not just superficial similarity, so interventions can reframe interpretations rather than draw attention. Second, interference effects: alternatives block one another through fragmentation of evidence, not just memory retrieval, so interventions can distinguish explanations rather than strengthen target cues. I illustrate these principles where active information-seeking is crucial: engaging parents in Liberia’s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