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have the capacity to self-correct, but it can be hindered when the space of model exploration strains cognitive limits. Model-switching theories and behavioral models of categorization capture this partially: they allow one model at a time and abstract from information acquisition. I model shifts in “mindsets” as a choice of how much model uncertainty to entertain: given a default mental model and a menu of latent, higher-payoff alternatives, a decision maker jointly chooses how much attention to give each and how much information to acquire. A microfounded evidence constraint bounds motivated beliefs: the weight an alternative can carry is capped by its Bayesian posterior probability. Curiosity arises endogenously as a drive to resolve model uncertainty from evidence for a higher-payoff alternative. The model reproduces neural remapping regularities and unifies belief-updating distortions with information-acquisition anomalies. It offers new mechanisms for two effects central to associative memory. First, context effects: cues matter through the explanations they support, not just superficial similarity, so interventions can reframe interpretations rather than draw attention. Second, interference effects: alternatives block one another through fragmentation of evidence, not just memory retrieval, so interventions can distinguish explanations rather than strengthen target cues. I illustrate these principles where active information-seeking is crucial: engaging parents in Liberia’s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