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2"/>
          <w:szCs w:val="22"/>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2"/>
          <w:szCs w:val="22"/>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high yield to good weather). As observations become harder to reconcile with that interpretation, people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less precise alternatives jointly chooses model weights and how much information to acquire. The key discipline is an evidence constraint that bounds motivated beliefs: an alternative’s weight is capped by its Bayesian posterior. Curiosity then arises endogenously as the value of resolving the model uncertainty the agent chooses to entertain. Because agents can seek information and reason beyond what associative memory supplies, exploration is both triggered and tested by evidence, which revises hallmark behavioral effects in memory-based models (e.g., Bordalo et al. 2023, 2026). Payoff-irrelevant contextual cues sway decisions only when they activate an alternative under which they matter, and the curiosity this stimulates tests that alternative, so the shift lasts only if evidence supports it. Yet cues consistent with multiple alternatives can stifle exploration of a promising one by dividing the evidence among them, even if the agent would never entertain the others. I illustrate how to stimulate curiosity about innovative development programs, pedagogies, and farming techniques, and analyze creativity and critical thinking as forms of cognitive dimension reduction that sustain curiosity.</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2"/>
          <w:szCs w:val="22"/>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