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2"/>
          <w:szCs w:val="22"/>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2"/>
          <w:szCs w:val="22"/>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high yield to good weather). As observations become harder to reconcile with that interpretation, people increasingly entertain alternatives. This paper treats such shifts in “mindsets” as a choice of how much model uncertainty to entertain. Each mental model pairs a prior with a view of how observable features combine to reveal the state. After an initial signal, an agent with a costless default and latent, less precise alternatives jointly chooses model weights and how much information to acquire. The key discipline is an evidence constraint that bounds motivated beliefs: an alternative’s weight is capped by its Bayesian posterior. Curiosity then arises endogenously as the value of resolving the model uncertainty the agent chooses to entertain. Two results follow. First, the evidence constraint interacts with a complementarity between model weights and information acquisition to produce curiosity failures. Second, because agents can seek information and reason beyond what associative memory supplies, the framework isolates the influence of the information environment from hallmark behavioral effects in associative-memory models (e.g., Bordalo et al., 2025, 2026). Last, I endogenize the menu of mental models, formalizing creative and critical thinking as complementary forms of cognitive dimension reduction that sustain curiosity. I illustrate the theory throughout with development programs, teacher training, and agricultural technology adoption.</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2"/>
          <w:szCs w:val="22"/>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