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examines the extent to which programs with innovative elements—which parents may misperceive—hinge on strengthening these ties to succeed.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randomized trials in sub-Saharan Africa, and over twice as cost-effective as a widely cited cash-transfer benchmark for the region (Baird et al. 2011).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 or “parents are not involved.”</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People can self-correct, but this can be hindered when the space of model exploration strains cognitive limits. Model-switching and associative-memory models of categorization capture this partially: they allow one model at a time and abstract from information acquisition. I model contextual shifts in “mindsets” as a choice of how much model uncertainty to entertain: after an initial signal, a decision maker with a default mental model and latent, less precise alternatives jointly chooses how much attention to give each and how much information to acquire. The key discipline is a neurally grounded evidence constraint that bounds motivated beliefs: an alternative’s weight is capped by its Bayesian posterior. Curiosity then arises endogenously as a drive to resolve model uncertainty created by evidence for an alternative. The model links behavioral puzzles in belief updating and information acquisition. It isolates new mechanisms for two effects central to memory models. First, context effects: payoff-irrelevant context has limited effects, because it sways decisions only when another model makes it relevant, and the search this triggers reverses the shift if that model proves wrong. Second, interference effects: rather than changing which model comes to mind, rival explanations can dilute one another’s support, leaving none activated and search dormant. I illustrate design principles where stimulating continuous model exploration is crucial: drawing parents’ attention to school-based agricultural extension and promoting new teaching, learning, and farming approaches among teachers, students, and farmers.</w:t>
      </w:r>
    </w:p>
    <w:p w14:paraId="00000000" w14:textId="77777777" w:rsidR="00FA6E2B" w:rsidRDefault="00000000">
      <w:pPr>
        <w:pStyle w:val="ListParagraph"/>
        <w:numPr>
          <w:ilvl w:val="0"/>
          <w:numId w:val="2"/>
        </w:numPr>
        <w:spacing w:after="60"/>
      </w:pPr>
      <w:r>
        <w:rPr>
          <w:b/>
          <w:bCs/>
        </w:rPr>
        <w:t xml:space="preserve">“Can Communicating Parents’ Beliefs to Students Be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