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Under Cognitive Limits</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the labor-market returns to schooling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two results follow.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