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can self-correct, but this can be hindered when the space of model exploration strains cognitive limits. Model-switching and associative-memory models of categorization capture this partially: they allow one model at a time and abstract from information acquisition. I model contextual shifts in “mindsets” as a choice of how much model uncertainty to entertain: after an initial signal, a decision maker with a default mental model and latent, less precise alternatives jointly chooses how much attention to give each and how much information to acquire. The key discipline is a neurally grounded evidence constraint that bounds motivated beliefs: an alternative’s weight is capped by its Bayesian posterior. Curiosity then arises endogenously as a drive to resolve model uncertainty created by evidence for an alternative. The model links behavioral puzzles in belief updating and information acquisition. It isolates new mechanisms for two effects central to memory models.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can dilute one another’s support, leaving none activated and search dormant. I illustrate design principles where stimulating continuous model exploration is crucial: drawing parents’ attention to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