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8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8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8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creativity, and critical thinking through the lens of cognitive map theory</w:t>
      </w:r>
    </w:p>
    <w:p w14:paraId="795D7E78" w14:textId="77777777" w:rsidR="00FA6E2B" w:rsidRDefault="00000000">
      <w:pPr>
        <w:keepNext/>
        <w:pBdr>
          <w:bottom w:val="single" w:sz="6" w:space="2" w:color="000000"/>
        </w:pBdr>
        <w:spacing w:before="18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8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less-educated, poorly informed parents. This paper studies whether development program success hinges on strengthening these ties. In a three-year Liberian experiment across 197 schools, I evaluate school-based agricultural extension (SBAE) against control, cross-randomizing whether to engage parents via promotional videos and field days. SBAE improves targeted outcomes only when paired with engagement: students’ households adopt 26–53% more agricultural techniques, dropouts fall 4–5 percentage points per year, and absenteeism falls 28%. The program is more cost-effective than most extension programs in Africa and over twice as cost-effective as conditional cash transfers in raising attendance. SBAE has strong positive training effects that are unaltered by parental engagement. However, without parental engagement, SBAE’s diffusion mechanisms via school demonstration farms, home projects, and intra-household communication stay muted—technology adoption effects vanish, absenteeism rises 31%, and parents reduce school visits below control. Parents’ avoidance of information about a new program, plus reversed effects under engagement, poses a puzzle to Bayesian updating under a fixed prior. I attribute these patterns to parents conflating SBAE with a discredited school-garden preconception.</w:t>
      </w:r>
    </w:p>
    <w:p w14:paraId="7D95C4B3" w14:textId="77777777" w:rsidR="00FA6E2B" w:rsidRDefault="00000000">
      <w:pPr>
        <w:keepNext/>
        <w:pBdr>
          <w:bottom w:val="single" w:sz="6" w:space="2" w:color="000000"/>
        </w:pBdr>
        <w:spacing w:before="18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“Catalyzing Technology Diffusion in Africa through School-Based Agricultural Extension”</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particularly suited to address this dual problem. We build on the target-input model of learning about a technology’s appropriateness for one’s own land. We add two elements that vary the effectiveness of social learning: the signal the student observes on the school demonstration farm, and the signal the home project generates on the family’s own land. We derive three results. First, adoption and schooling are complements under SBAE: the same information raises both the value of using the new technology and the value of sending the child to school. Second, schooling acquires an option value on the farm: it raises the probability of adoption in a later season, so attendance can be optimal even where wage returns alone are low. Third, in the presence of a learning externality, SBAE aggregates information at a lower private cost than decentralized experimentation. We find strong support for these results in a randomized trial in Liberia.</w:t>
      </w:r>
    </w:p>
    <w:p w14:paraId="00000000" w14:textId="77777777" w:rsidR="00FA6E2B" w:rsidRDefault="00000000">
      <w:pPr>
        <w:pStyle w:val="ListParagraph"/>
        <w:numPr>
          <w:ilvl w:val="0"/>
          <w:numId w:val="2"/>
        </w:numPr>
        <w:spacing w:after="60"/>
      </w:pPr>
      <w:r>
        <w:rPr>
          <w:b/>
          <w:bCs/>
        </w:rPr>
        <w:t xml:space="preserve">“Endogenous Model Uncertainty and Curiosity under Neural Capacity Constraints”</w:t>
      </w:r>
    </w:p>
    <w:p w14:paraId="00000000" w14:textId="77777777" w:rsidR="00FA6E2B" w:rsidRDefault="00000000">
      <w:pPr>
        <w:spacing w:after="80" w:line="216" w:lineRule="auto"/>
        <w:ind w:left="720" w:right="360"/>
        <w:jc w:val="both"/>
      </w:pPr>
      <w:r>
        <w:rPr>
          <w:sz w:val="20"/>
          <w:szCs w:val="20"/>
        </w:rPr>
        <w:t xml:space="preserve">In standard models of decision under ambiguity, the weights an agent places on competing models of the world lack a behavioral foundation. This paper models contextual shifts in “mindsets” as a choice of how much model uncertainty to entertain: from a precise default model and a menu of latent alternatives, an agent chooses how much attention to pay to each and how much information to acquire. The choice is disciplined against motivated beliefs by a microfounded capacity constraint: the weight assigned to an alternative is capped by its likelihood relative to the default and to the other alternatives. Curiosity then arises endogenously as a drive to resolve the ambiguity that evidence creates. The model matches the regularities of neural remapping, with two results that matter for stimulating curiosity. First, framing of evidence matters because an alternative is activated only when the evidence makes the default indefensible against it, and threshold effects govern how attention shifts: gradually, abruptly, or not at all. Second, when several alternatives each beat the default, none may be activated, because evidence spread across rivals dilutes the weight each can carry. I apply the framework to the design of information interventions that aim to draw parents’ attention to a school-based agricultural extension program and to foster a conceptual understanding of pedagogy choice and learning efforts among teachers, students, and farmers.</w:t>
      </w:r>
    </w:p>
    <w:p w14:paraId="00000000" w14:textId="77777777" w:rsidR="00FA6E2B" w:rsidRDefault="00000000">
      <w:pPr>
        <w:spacing w:after="80" w:line="216" w:lineRule="auto"/>
        <w:ind w:left="720" w:right="360"/>
        <w:jc w:val="both"/>
      </w:pPr>
      <w:r>
        <w:rPr>
          <w:b/>
          <w:bCs/>
          <w:sz w:val="20"/>
          <w:szCs w:val="20"/>
        </w:rPr>
        <w:t xml:space="preserve">Keywords: </w:t>
      </w:r>
      <w:r>
        <w:rPr>
          <w:sz w:val="20"/>
          <w:szCs w:val="20"/>
        </w:rPr>
        <w:t xml:space="preserve">mental models, ambiguity, cognitive maps, information acquisition, capacity constraints, framing, technology adoption, agricultural extension, aspirations, education, pedagogy.</w:t>
      </w:r>
      <w:r>
        <w:rPr>
          <w:b/>
          <w:bCs/>
          <w:sz w:val="20"/>
          <w:szCs w:val="20"/>
        </w:rPr>
        <w:t xml:space="preserve"> JEL: </w:t>
      </w:r>
      <w:r>
        <w:rPr>
          <w:sz w:val="20"/>
          <w:szCs w:val="20"/>
        </w:rPr>
        <w:t xml:space="preserve">D81, D83, D91, I25, O12, Q16.</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further signaling parents’ support to students needed?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8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8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8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80" w:after="100"/>
      </w:pPr>
      <w:r>
        <w:rPr>
          <w:b/>
          <w:bCs/>
          <w:spacing w:val="20"/>
        </w:rPr>
        <w:t>TEACHING</w:t>
      </w:r>
    </w:p>
    <w:p w14:paraId="21ABAC3E" w14:textId="77777777" w:rsidR="00FA6E2B" w:rsidRDefault="00000000">
      <w:pPr>
        <w:spacing w:after="20"/>
      </w:pPr>
      <w:r>
        <w:rPr>
          <w:b/>
          <w:bCs/>
        </w:rPr>
        <w:t>Teaching Assistant</w:t>
      </w:r>
      <w:r>
        <w:t>, Northwestern University</w:t>
      </w:r>
    </w:p>
    <w:p w14:paraId="51FB785A" w14:textId="77777777" w:rsidR="00FA6E2B" w:rsidRDefault="00000000">
      <w:pPr>
        <w:spacing w:after="20"/>
        <w:ind w:left="360"/>
      </w:pPr>
      <w:r>
        <w:t>Introduction to Microeconomics, Introduction to Macroeconomics, Intermediate Microeconomics II, Intermediate Macroeconomics, International Trade, Economics of Nonprofit Organizations</w:t>
      </w:r>
    </w:p>
    <w:p w14:paraId="3744E685" w14:textId="77777777" w:rsidR="00FA6E2B" w:rsidRDefault="00000000">
      <w:pPr>
        <w:keepNext/>
        <w:pBdr>
          <w:bottom w:val="single" w:sz="6" w:space="2" w:color="000000"/>
        </w:pBdr>
        <w:spacing w:before="18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8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900" w:right="1440" w:bottom="90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