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the intertwined choices of (i) activating mental model(s) alternative to a default and (ii) information acquisition efforts about a new situation—under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parental engagement,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SBAE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When school programs require students to make changes on household farms, is informing parents about the program sufficient, or is further signaling their support to students needed? I study this question within a randomized evaluation of school-based agricultural extension (SBAE) in Liberia, where students are encouraged to take school farm training into a home farming project. After parents view a promotional video of the program, I randomize a nudge revealing to students their parents’ optimism about their farm-management skills. Two years later, SBAE improves students’ livelihoods only with the nudge: income rises 63%, on-time school fee payment 43–47%, and cost-effectiveness for attendance doubles. This study highlights a management aspect of agricultural technology adoption that responds strongly to nudges: even where informed parents adopt promoted techniques, third-party communication is pivotal in shifting students away from assisting in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