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what leads a person to seek the information required to explore new perspectives? Neuroscience suggests that people automatically classify a situation before choosing how to act, drawing a familiar interpretation from similar past situations (e.g., a farmer attributing a neighbor’s unusually high yield to good weather). As observations become harder to reconcile with that interpretation, people entertain alternatives. This paper treats such shifts in “mindsets” as a choice of how much model uncertainty to entertain. Each mental model pairs a prior with a view of how observable features combine to reveal the state. After an initial signal, an agent with a costless default and latent alternatives chooses model weights and how much information to acquire. The key discipline is a neurally grounded evidence constraint that bounds motivated beliefs: an alternative’s weight is capped by its Bayesian posterior. Curiosity then arises endogenously as a drive to resolve the resulting model uncertainty, which imposes hedging costs. Moving beyond what associative memory supplies, the model revises two hallmark effects of memory-based models. First, context effects: contextual cues that are payoff-irrelevant under the default sway decisions only when they activate an alternative under which they matter, and the curiosity this creates drives self-correction. Persistent context effects thus reflect the information environment. Second, interference effects: cues consistent with several alternatives divide the evidence among them, so none may be activated and the agent stays incurious. Development examples illustrate principles for stimulating curiosity about innovative programs, pedagogies, and farming techniques.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