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signal triggers. Because agents can seek information beyond what associative memory supplies, the model shows that how far irrelevant context distorts judgment and choice depends on the information environment, thereby revising two hallmark effects in memory-based models (Bordalo et al. 2026). First, cues that are payoff-irrelevant under the default sway decisions only when they activate an alternative under which they matter, and the resulting curiosity drives self-correction when evidence is unbiased. Second, cues consistent with several alternatives divide the evidence among them, so none may be activated, even when each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