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Why do people ignore useful information in some situations and seek it eagerly in others? Neuroscience suggests that people automatically classify a situation before choosing how to act. Memory supplies a familiar interpretation drawn from similar past situations. Only when that interpretation fails do people begin to entertain less familiar alternatives.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The model isolates new mechanisms for two effects central to behavioral models of associative memory. First, context effects: payoff-irrelevant context sways decisions only when another model makes it relevant, and the curiosity this creates drives self-correction. Persistent context effects thus reflect the information environment. Second, interference effects: rather than changing which model comes to mind, rival explanations dilute one another’s support, leaving none activated and search dormant.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