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Focus—Endogenous Model Uncertainty and the Economics of Curiosity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People can self-correct, but this can be hindered when the space of model exploration strains cognitive limits. Model-switching and associative-memory models of categorization capture this partially: they allow one model at a time and abstract from information acquisition. I model contextual shifts in “mindsets” as a choice of how much model uncertainty to entertain: after an initial signal, a decision maker with a default mental model and latent, less precise alternatives jointly chooses how much attention to give each and how much information to acquire. The key discipline is a neurally grounded evidence constraint that bounds motivated beliefs: an alternative’s weight is capped by its Bayesian posterior. Curiosity then arises endogenously as a drive to resolve model uncertainty created by evidence for an alternative. The model links behavioral puzzles in belief updating and information acquisition. It isolates new mechanisms for two effects central to memory models.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can dilute one another’s support, leaving none activated and search dormant. I illustrate design principles where stimulating continuous model exploration is crucial: drawing parents’ attention to school-based agricultural extension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