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People have the capacity to self-correct, but it can be hindered when the space of model exploration strains cognitive limits. Model-switching theories and associative-memory models of categorization capture this partially: they allow one model at a time and abstract from information acquisition. I model shifts in “mindsets” as a choice of how much model uncertainty to entertain: given a default mental model and a menu of latent, higher-payoff alternatives, a decision maker jointly chooses how much attention to give each and how much information to acquire. A microfounded evidence constraint bounds motivated beliefs: the weight an alternative can carry is capped by its Bayesian posterior probability. Curiosity then arises endogenously as a drive to resolve model uncertainty from evidence for a higher-payoff alternative. The model reproduces neural remapping regularities and unifies belief-updating distortions with information-acquisition anomalies. It offers new mechanisms for two effects central to associative memory. First, context effects: cues matter through the explanations they support, not just superficial similarity, so interventions can reframe interpretations rather than draw attention. Second, interference effects: alternatives block one another through fragmentation of evidence, not just memory retrieval, so interventions can distinguish explanations rather than strengthen target cues. I illustrate these principles where active information-seeking is crucial: engaging parents in Liberia’s school-based agricultural extension and promoting new teaching, study, and farming practices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