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technological suitability across farms, while low perceived returns to schooling drive students to drop out. We develop a theoretical model of why school-based agricultural extension (SBAE) is suited to address this dual problem. Our model builds on the target-input framework, in which farmers learn whether a technology suits their land only by using it and observing noisy outcomes. We add two signals of technological suitability, from a school demonstration plot and a home project, both increasing in precision with the time the student devotes to school. Schooling and adoption become complements, in both directions. First, schooling carries an option value on the farm: by raising the probability of future adoption, it makes attendance worthwhile even where labor-market returns are low. Second, SBAE decouples learning about a technology’s suitability from its use in production: households acquire information through their children’s schooling, and the returns to schooling pay for part of the cost of learning. We provide experimental evidence from Liberia that SBAE cost-effectively raises both agricultural technology adoption and school attendance, and use extensions of the model to study how SBAE’s design can be strengthened, including (i) how effectively agriculture and science education are integrated through inquiry-based learning,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