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4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studies the extent to which development program success hinges on strengthening these ties. In a three-year Liberian experiment across 197 schools, I evaluate school-based agricultural extension (SBAE) against control, cross-randomizing whether to inform parents about SBAE’s distinctive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that parental engagement shifts parents’ categorization of SBAE away from the “school-garden-as-drudgery” schema.</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suited to address this dual problem. The model extends the target-input framework with two signals of technological suitability, from a school demonstration plot and a home project, both increasing in precision with the student’s study effort. Three results follow. First, schooling and adoption become complements: the same information raises both the value of the new technology and the value of attendance. Second, schooling acquires an option value on the farm: by raising the probability of future adoption, it makes attendance optimal even where the labor-market returns to schooling are low. Third, SBAE addresses suboptimal experimentation by decoupling learning about a technology’s suitability from its use in production: because information is acquired through study effort, the returns to schooling pay part of the cost of learning. We provide experimental evidence from Liberia that SBAE cost-effectively raises both agricultural technology adoption and school attendance, and use extensions of the model to explain how SBAE’s design can be strengthened. A key margin is the integration of agriculture into formal education: the more home projects contribute to meaningful learning, the less students trade off human capital against learning about their own land, and the stronger the complementarity between adoption and schooling.</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I model contextual shifts in “mindsets” as a choice of how much model uncertainty to entertain: from a default mental model and a menu of latent, imprecise, and potentially more promising alternatives, an agent chooses how much attention to pay to each and how much information to acquire. This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reproduces regularities of neural remapping, and two results follow. First, contrast matters because an alternative is activated only when the evidence makes the default indefensible against it, and thresholds govern how attention shifts: gradually, abruptly, or not at all. Search follows the weight she has moved, and what she looks at decides whether the shift holds. Second, concentration of evidence matters because several alternatives may each beat the default and yet none be activated, however strong the evidence. I apply the framework to the design of information interventions for a school-based agricultural extension program in Liberia, and to pedagogy and learning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(5.4/6), Introduction to Macroeconomics (5.4/6), Intermediate Microeconomics (5.4/6), Intermediate Macroeconomics (5.7/6), International Trade (5.6/6), Economics of Nonprofit Organizations (5.8/6)</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