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for instance away from a “school-garden-as-drudgery” schema.</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agriculture into formal education: the more SBAE’s hands-on activities contribute to meaningful learning,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