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unusually high yield to good weather). As observations become harder to reconcile with that interpretation, people entertain less familiar alternatives. This paper treats contextual shifts in “mindsets” as a choice of how much model uncertainty to entertain. Each mental model pairs a prior with a view of how observable features combine to reveal the state, so weighting models changes how a person interprets a situation. After an initial signal, an agent with a costless default and latent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By letting agents seek information and move beyond the interpretation supplied by associative memory, the model revises two hallmark effects of memory-based behavioral models. First, context effects: cues that are payoff-irrelevant under the default sway decisions only when they activate an alternative under which they matter,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