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8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8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8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Through Contextual Shifts in Mindsets: Endogenous Model Uncertainty Under Cognitive Limits</w:t>
      </w:r>
    </w:p>
    <w:p w14:paraId="795D7E78" w14:textId="77777777" w:rsidR="00FA6E2B" w:rsidRDefault="00000000">
      <w:pPr>
        <w:keepNext/>
        <w:pBdr>
          <w:bottom w:val="single" w:sz="6" w:space="2" w:color="000000"/>
        </w:pBdr>
        <w:spacing w:before="18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8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studies the extent to which development program success hinges on strengthening these ties. In a three-year Liberian experiment across 197 schools, I evaluate school-based agricultural extension (SBAE) against control, cross-randomizing whether to inform parents about SBAE’s distinct features via promotional videos and field days. SBAE improves targeted outcomes only when paired with engagement: students’ households adopt 26–53% more agricultural techniques, dropouts fall 4–5 percentage points per year, absenteeism falls 28%, and studying hours rise 22%. The program is more cost-effective than most extension programs in Africa and over twice as cost-effective as conditional cash transfers in raising attendance.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that parental engagement shifts parents’ categorization of SBAE away from the “school-garden-as-drudgery” schema.</w:t>
      </w:r>
    </w:p>
    <w:p w14:paraId="7D95C4B3" w14:textId="77777777" w:rsidR="00FA6E2B" w:rsidRDefault="00000000">
      <w:pPr>
        <w:keepNext/>
        <w:pBdr>
          <w:bottom w:val="single" w:sz="6" w:space="2" w:color="000000"/>
        </w:pBdr>
        <w:spacing w:before="18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Diffusion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Efforts to raise agricultural productivity in sub-Saharan Africa are limited by substantial heterogeneity in which technologies are suitable across farms, while low perceived returns to schooling drive students to drop out. We develop a theoretical model of why school-based agricultural extension (SBAE) is suited to address this dual problem. The model extends the target-input framework with two signals of technological suitability, from a school demonstration plot and a home project, both increasing in precision with the student’s study effort. Three results follow. First, schooling and adoption become complements: the same information raises both the value of the new technology and the value of attendance. Second, schooling acquires an option value on the farm: by raising the probability of future adoption, it makes attendance optimal even where wage returns are low. Third, SBAE addresses suboptimal experimentation by decoupling learning about a technology’s suitability from its use in production: because information is acquired through study effort, the returns to schooling pay part of the cost of learning. We provide experimental evidence from Liberia that SBAE cost-effectively raises both agricultural technology adoption and school attendance, and use extensions of the model to explain how SBAE’s design can be strengthened.</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In standard theories of decision under model uncertainty, the weights an agent places on competing models of the world are not subject to cognitive limits. This paper models contextual shifts in “mindsets” as a choice of how much model uncertainty to entertain: from a precise default model and a menu of latent, imprecise, and potentially more promising alternatives, an agent chooses how much attention to pay to each and how much information to acquire. The choice is disciplined by a microfounded evidence constraint that bounds motivated beliefs: the weight assigned to an alternative is capped by its likelihood relative to the default and to the other alternatives. Curiosity then arises endogenously as a drive to resolve the model uncertainty that evidence for a more promising alternative creates. The model matches regularities of neural remapping, with two results that matter for stimulating curiosity. First, contrast matters because an alternative is activated only when the evidence makes the default indefensible against it, and thresholds govern how attention shifts: gradually, abruptly, or not at all. Second, concentration of evidence matters because several alternatives may each beat the default and yet none is activated. I apply the framework to the design of information interventions that aim to draw parents’ attention to a school-based agricultural extension program and to foster a conceptual understanding of pedagogy choice and learning efforts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is pivotal in shifting students away from assisting in subsistence farming.</w:t>
      </w:r>
    </w:p>
    <w:p w14:paraId="219A419F" w14:textId="77777777" w:rsidR="00FA6E2B" w:rsidRDefault="00000000">
      <w:pPr>
        <w:keepNext/>
        <w:pBdr>
          <w:bottom w:val="single" w:sz="6" w:space="2" w:color="000000"/>
        </w:pBdr>
        <w:spacing w:before="18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8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8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80" w:after="100"/>
      </w:pPr>
      <w:r>
        <w:rPr>
          <w:b/>
          <w:bCs/>
          <w:spacing w:val="20"/>
        </w:rPr>
        <w:t>TEACHING</w:t>
      </w:r>
    </w:p>
    <w:p w14:paraId="21ABAC3E" w14:textId="77777777" w:rsidR="00FA6E2B" w:rsidRDefault="00000000">
      <w:pPr>
        <w:spacing w:after="20"/>
      </w:pPr>
      <w:r>
        <w:rPr>
          <w:b/>
          <w:bCs/>
        </w:rPr>
        <w:t>Teaching Assistant</w:t>
      </w:r>
      <w:r>
        <w:t>, Northwestern University</w:t>
      </w:r>
    </w:p>
    <w:p w14:paraId="51FB785A" w14:textId="77777777" w:rsidR="00FA6E2B" w:rsidRDefault="00000000">
      <w:pPr>
        <w:spacing w:after="20"/>
        <w:ind w:left="360"/>
      </w:pPr>
      <w:r>
        <w:t>Introduction to Microeconomics, Introduction to Macroeconomics, Intermediate Microeconomics, Intermediate Macroeconomics, International Trade, Economics of Nonprofit Organizations</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8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8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